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4962A" w14:textId="6404F52B" w:rsidR="00A62416" w:rsidRPr="00A70A45" w:rsidRDefault="00A62416" w:rsidP="00A70A45">
      <w:pPr>
        <w:pStyle w:val="Ttulo1"/>
        <w:spacing w:after="240" w:line="240" w:lineRule="auto"/>
        <w:rPr>
          <w:rFonts w:ascii="Times New Roman" w:hAnsi="Times New Roman" w:cs="Times New Roman"/>
          <w:sz w:val="28"/>
          <w:szCs w:val="28"/>
        </w:rPr>
      </w:pPr>
      <w:r w:rsidRPr="00A70A45">
        <w:rPr>
          <w:rFonts w:ascii="Times New Roman" w:hAnsi="Times New Roman" w:cs="Times New Roman"/>
          <w:sz w:val="28"/>
          <w:szCs w:val="28"/>
        </w:rPr>
        <w:t>A EMERGÊNCIA DA PROTEÇÃO DAS CULTURAS POPULARES, INDIGENAS E AFRO-BRASILEIRAS</w:t>
      </w:r>
    </w:p>
    <w:p w14:paraId="2EDD0DBD" w14:textId="7ED89B6C" w:rsidR="00B707DB" w:rsidRPr="00A70A45" w:rsidRDefault="00A62416" w:rsidP="00A70A45">
      <w:pPr>
        <w:spacing w:after="240" w:line="240" w:lineRule="auto"/>
        <w:jc w:val="center"/>
        <w:rPr>
          <w:sz w:val="28"/>
          <w:szCs w:val="28"/>
          <w:lang w:val="en-US" w:eastAsia="pt-BR" w:bidi="hi-IN"/>
        </w:rPr>
      </w:pPr>
      <w:r w:rsidRPr="00A70A45">
        <w:rPr>
          <w:sz w:val="28"/>
          <w:szCs w:val="28"/>
          <w:lang w:val="en-US" w:eastAsia="pt-BR" w:bidi="hi-IN"/>
        </w:rPr>
        <w:t>THE EMERGENCY OF PROTECTION OF POPULAR, INDIGENOUS AND AFRO-BRAZILIAN CULTURES</w:t>
      </w:r>
    </w:p>
    <w:p w14:paraId="19804AFA" w14:textId="04E18EC0" w:rsidR="00A62416" w:rsidRPr="00A62416" w:rsidRDefault="00A62416" w:rsidP="00A62416">
      <w:pPr>
        <w:spacing w:after="0"/>
        <w:ind w:left="5664"/>
        <w:jc w:val="center"/>
        <w:rPr>
          <w:rFonts w:eastAsia="Calibri"/>
        </w:rPr>
      </w:pPr>
      <w:r w:rsidRPr="00A70A45">
        <w:rPr>
          <w:rFonts w:eastAsia="Calibri"/>
          <w:lang w:val="en-US"/>
        </w:rPr>
        <w:t xml:space="preserve">    </w:t>
      </w:r>
      <w:proofErr w:type="spellStart"/>
      <w:r w:rsidRPr="00A62416">
        <w:rPr>
          <w:rFonts w:eastAsia="Calibri"/>
        </w:rPr>
        <w:t>Thalles</w:t>
      </w:r>
      <w:proofErr w:type="spellEnd"/>
      <w:r w:rsidRPr="00A62416">
        <w:rPr>
          <w:rFonts w:eastAsia="Calibri"/>
        </w:rPr>
        <w:t xml:space="preserve"> Ferreira Costa</w:t>
      </w:r>
      <w:r w:rsidR="00B707DB">
        <w:rPr>
          <w:rStyle w:val="Refdenotaderodap"/>
          <w:rFonts w:eastAsia="Calibri"/>
        </w:rPr>
        <w:footnoteReference w:id="1"/>
      </w:r>
    </w:p>
    <w:p w14:paraId="008985BC" w14:textId="77777777" w:rsidR="00041E46" w:rsidRPr="00A62416" w:rsidRDefault="00041E46" w:rsidP="00041E46">
      <w:pPr>
        <w:spacing w:after="0" w:line="240" w:lineRule="auto"/>
        <w:jc w:val="both"/>
        <w:rPr>
          <w:rFonts w:eastAsia="Calibri"/>
          <w:b/>
          <w:bCs/>
        </w:rPr>
      </w:pPr>
    </w:p>
    <w:p w14:paraId="0E917739" w14:textId="0E36E41D" w:rsidR="00340ADC" w:rsidRDefault="00340ADC" w:rsidP="002449E4">
      <w:pPr>
        <w:spacing w:line="360" w:lineRule="auto"/>
        <w:jc w:val="center"/>
        <w:rPr>
          <w:rFonts w:eastAsia="Calibri"/>
          <w:b/>
          <w:bCs/>
        </w:rPr>
      </w:pPr>
      <w:r w:rsidRPr="00A62416">
        <w:rPr>
          <w:rFonts w:eastAsia="Calibri"/>
          <w:b/>
          <w:bCs/>
        </w:rPr>
        <w:t>RESUMO</w:t>
      </w:r>
    </w:p>
    <w:p w14:paraId="36DC3F3C" w14:textId="5A551EF5" w:rsidR="00041E46" w:rsidRPr="00A62416" w:rsidRDefault="00041E46" w:rsidP="00041E46">
      <w:pPr>
        <w:spacing w:after="0" w:line="240" w:lineRule="auto"/>
        <w:jc w:val="both"/>
        <w:rPr>
          <w:rFonts w:eastAsia="Calibri"/>
        </w:rPr>
      </w:pPr>
      <w:r w:rsidRPr="00A62416">
        <w:rPr>
          <w:rFonts w:eastAsia="Calibri"/>
        </w:rPr>
        <w:t xml:space="preserve">O presente artigo busca explicitar, por meio da pesquisa bibliográfica, a compreensão da norma constitucional que determina a proteção das culturas populares, indígenas e afro-brasileiras. A pesquisa indaga se a referida proteção pode ser compreendida, interpretada e aplicada mediante o uso do aporte teórico fornecido pela hermenêutica filosófica de Gadamer. A tradição, em Gadamer, oferece um horizonte de possibilidades para compreensão da referida norma, inclusive com uma postura </w:t>
      </w:r>
      <w:proofErr w:type="spellStart"/>
      <w:r w:rsidRPr="00A62416">
        <w:rPr>
          <w:rFonts w:eastAsia="Calibri"/>
        </w:rPr>
        <w:t>decolonial</w:t>
      </w:r>
      <w:proofErr w:type="spellEnd"/>
      <w:r w:rsidRPr="00A62416">
        <w:rPr>
          <w:rFonts w:eastAsia="Calibri"/>
        </w:rPr>
        <w:t>, de modo a combater o desmanche silencioso da cultura popular brasileira proporcionada pela racionalidade neoliberal. Tradição, em Gadamer, deve ser vista como consciência comunitária perceptível aos efeitos históricos que interferem e atuam sobre a sua compreensão, de modo que a sua relação com o passado seja algo finito, mutável e dinâmico. A teoria de Gadamer fornece um manancial teórico para compreensão de todo o ramo do direito antidiscriminatório, porquanto, dentro do contexto da reviravolta linguístico-pragmática, consegue possibilitar condições de emancipação de grupos vulneráveis por meio da linguagem; condição possibilitadora do acontecer humano.</w:t>
      </w:r>
    </w:p>
    <w:p w14:paraId="3A72B4A5" w14:textId="77777777" w:rsidR="00041E46" w:rsidRPr="00A62416" w:rsidRDefault="00041E46" w:rsidP="00041E46">
      <w:pPr>
        <w:spacing w:after="0" w:line="240" w:lineRule="auto"/>
        <w:jc w:val="both"/>
        <w:rPr>
          <w:rFonts w:eastAsia="Calibri"/>
          <w:b/>
          <w:bCs/>
        </w:rPr>
      </w:pPr>
    </w:p>
    <w:p w14:paraId="5D88E6B2" w14:textId="77777777" w:rsidR="00041E46" w:rsidRPr="00A62416" w:rsidRDefault="00041E46" w:rsidP="00041E46">
      <w:pPr>
        <w:spacing w:after="0" w:line="240" w:lineRule="auto"/>
        <w:jc w:val="both"/>
        <w:rPr>
          <w:rFonts w:eastAsia="Calibri"/>
          <w:lang w:val="en-GB"/>
        </w:rPr>
      </w:pPr>
      <w:r w:rsidRPr="00A62416">
        <w:rPr>
          <w:rFonts w:eastAsia="Calibri"/>
          <w:b/>
          <w:bCs/>
        </w:rPr>
        <w:t>Palavras-chave</w:t>
      </w:r>
      <w:r w:rsidRPr="00A62416">
        <w:rPr>
          <w:rFonts w:eastAsia="Calibri"/>
        </w:rPr>
        <w:t xml:space="preserve">: Antidiscriminatório. Cultura. Hermenêutica. </w:t>
      </w:r>
      <w:r w:rsidRPr="00A62416">
        <w:rPr>
          <w:rFonts w:eastAsia="Calibri"/>
          <w:lang w:val="en-GB"/>
        </w:rPr>
        <w:t xml:space="preserve">Gadamer. </w:t>
      </w:r>
      <w:proofErr w:type="spellStart"/>
      <w:r w:rsidRPr="00A62416">
        <w:rPr>
          <w:rFonts w:eastAsia="Calibri"/>
          <w:lang w:val="en-GB"/>
        </w:rPr>
        <w:t>Proteção</w:t>
      </w:r>
      <w:proofErr w:type="spellEnd"/>
      <w:r w:rsidRPr="00A62416">
        <w:rPr>
          <w:rFonts w:eastAsia="Calibri"/>
          <w:lang w:val="en-GB"/>
        </w:rPr>
        <w:t>.</w:t>
      </w:r>
    </w:p>
    <w:p w14:paraId="680722D0" w14:textId="77777777" w:rsidR="00041E46" w:rsidRPr="00A62416" w:rsidRDefault="00041E46" w:rsidP="00041E46">
      <w:pPr>
        <w:spacing w:after="0" w:line="240" w:lineRule="auto"/>
        <w:jc w:val="both"/>
        <w:rPr>
          <w:rFonts w:eastAsia="Calibri"/>
          <w:b/>
          <w:bCs/>
          <w:lang w:val="en-GB"/>
        </w:rPr>
      </w:pPr>
    </w:p>
    <w:p w14:paraId="265CCE76" w14:textId="313174B5" w:rsidR="00340ADC" w:rsidRDefault="002449E4" w:rsidP="002449E4">
      <w:pPr>
        <w:spacing w:line="360" w:lineRule="auto"/>
        <w:jc w:val="center"/>
        <w:rPr>
          <w:rFonts w:eastAsia="Times New Roman"/>
          <w:color w:val="202124"/>
          <w:lang w:val="en" w:eastAsia="pt-BR"/>
        </w:rPr>
      </w:pPr>
      <w:r w:rsidRPr="00A62416">
        <w:rPr>
          <w:rFonts w:eastAsia="Calibri"/>
          <w:b/>
          <w:bCs/>
          <w:lang w:val="en-US"/>
        </w:rPr>
        <w:t>A</w:t>
      </w:r>
      <w:r w:rsidRPr="00A62416">
        <w:rPr>
          <w:rFonts w:eastAsia="Times New Roman"/>
          <w:b/>
          <w:bCs/>
          <w:color w:val="202124"/>
          <w:lang w:val="en" w:eastAsia="pt-BR"/>
        </w:rPr>
        <w:t>BSTRACT</w:t>
      </w:r>
    </w:p>
    <w:p w14:paraId="74CF71D5" w14:textId="32489A86" w:rsidR="00041E46" w:rsidRPr="00A62416" w:rsidRDefault="00041E46" w:rsidP="00041E46">
      <w:pPr>
        <w:spacing w:after="0" w:line="240" w:lineRule="auto"/>
        <w:jc w:val="both"/>
        <w:rPr>
          <w:rFonts w:eastAsia="Calibri"/>
          <w:lang w:val="en-US"/>
        </w:rPr>
      </w:pPr>
      <w:r w:rsidRPr="00A62416">
        <w:rPr>
          <w:rFonts w:eastAsia="Times New Roman"/>
          <w:color w:val="202124"/>
          <w:lang w:val="en" w:eastAsia="pt-BR"/>
        </w:rPr>
        <w:t>This article seeks to clarify, through bibliographical research, the understanding of the constitutional rule that determines the protection of popular, indigenous and Afro-Brazilian cultures. The research asks if this protection can be applied, understood and interpreted using the theoretical support provided by Gadamer's philosophical hermeneutics. Tradition, in Gadamer, offers a horizon of possibilities for understanding the aforementioned norm, including a decolonial stance, in order to combat the silent dismantling of Brazilian popular culture provided by neoliberal rationality. Tradition, in Gadamer, must be seen as a perceptible community conscience to the historical effects that interfere and act on its understanding, so that its relationship with the past is finite, changeable and dynamic. Gadamer's theory provides a theoretical source for understanding the entire branch of anti-discrimination law, as, within the context of the linguistic-pragmatic turnaround, it manages to enable conditions for the emancipation of vulnerable groups through language; enabling condition of the human happening.</w:t>
      </w:r>
    </w:p>
    <w:p w14:paraId="554EE446" w14:textId="77777777" w:rsidR="00041E46" w:rsidRPr="00A62416" w:rsidRDefault="00041E46" w:rsidP="00041E46">
      <w:pPr>
        <w:spacing w:after="0" w:line="240" w:lineRule="auto"/>
        <w:jc w:val="both"/>
        <w:rPr>
          <w:rFonts w:eastAsia="Calibri"/>
          <w:b/>
          <w:bCs/>
          <w:lang w:val="en-GB"/>
        </w:rPr>
      </w:pPr>
    </w:p>
    <w:p w14:paraId="50324165" w14:textId="578176C3" w:rsidR="00A62416" w:rsidRPr="002449E4" w:rsidRDefault="00041E46" w:rsidP="002449E4">
      <w:pPr>
        <w:spacing w:line="360" w:lineRule="auto"/>
        <w:jc w:val="both"/>
        <w:rPr>
          <w:rFonts w:eastAsia="Calibri"/>
        </w:rPr>
      </w:pPr>
      <w:r w:rsidRPr="00A70A45">
        <w:rPr>
          <w:rFonts w:eastAsia="Calibri"/>
          <w:b/>
          <w:bCs/>
          <w:lang w:val="en-US"/>
        </w:rPr>
        <w:t>K</w:t>
      </w:r>
      <w:r w:rsidRPr="00A70A45">
        <w:rPr>
          <w:rFonts w:eastAsia="Times New Roman"/>
          <w:b/>
          <w:bCs/>
          <w:color w:val="202124"/>
          <w:lang w:val="en-US" w:eastAsia="pt-BR"/>
        </w:rPr>
        <w:t>eywords</w:t>
      </w:r>
      <w:r w:rsidRPr="00A70A45">
        <w:rPr>
          <w:rFonts w:eastAsia="Times New Roman"/>
          <w:color w:val="202124"/>
          <w:lang w:val="en-US" w:eastAsia="pt-BR"/>
        </w:rPr>
        <w:t xml:space="preserve">: Anti-discrimination. Culture. Hermeneutics. </w:t>
      </w:r>
      <w:r w:rsidRPr="00A62416">
        <w:rPr>
          <w:rFonts w:eastAsia="Times New Roman"/>
          <w:color w:val="202124"/>
          <w:lang w:eastAsia="pt-BR"/>
        </w:rPr>
        <w:t xml:space="preserve">Gadamer. </w:t>
      </w:r>
      <w:proofErr w:type="spellStart"/>
      <w:r w:rsidRPr="00A62416">
        <w:rPr>
          <w:rFonts w:eastAsia="Times New Roman"/>
          <w:color w:val="202124"/>
          <w:lang w:eastAsia="pt-BR"/>
        </w:rPr>
        <w:t>Protection</w:t>
      </w:r>
      <w:proofErr w:type="spellEnd"/>
      <w:r w:rsidRPr="00A62416">
        <w:rPr>
          <w:rFonts w:eastAsia="Times New Roman"/>
          <w:color w:val="202124"/>
          <w:lang w:eastAsia="pt-BR"/>
        </w:rPr>
        <w:t>.</w:t>
      </w:r>
    </w:p>
    <w:p w14:paraId="0F8E45F1" w14:textId="2C531222" w:rsidR="005C258A" w:rsidRPr="00A2508F" w:rsidRDefault="005C258A" w:rsidP="00A2508F">
      <w:pPr>
        <w:spacing w:line="360" w:lineRule="auto"/>
        <w:rPr>
          <w:b/>
          <w:bCs/>
        </w:rPr>
      </w:pPr>
      <w:r w:rsidRPr="002449E4">
        <w:rPr>
          <w:b/>
          <w:bCs/>
        </w:rPr>
        <w:t>INTRODUÇÃO</w:t>
      </w:r>
    </w:p>
    <w:p w14:paraId="13F29790" w14:textId="35296180" w:rsidR="00041E46" w:rsidRPr="00A62416" w:rsidRDefault="00041E46" w:rsidP="00A2508F">
      <w:pPr>
        <w:spacing w:after="0" w:line="360" w:lineRule="auto"/>
        <w:ind w:firstLine="1134"/>
        <w:jc w:val="both"/>
        <w:rPr>
          <w:rFonts w:eastAsia="Calibri"/>
        </w:rPr>
      </w:pPr>
      <w:r w:rsidRPr="00A62416">
        <w:rPr>
          <w:rFonts w:eastAsia="Calibri"/>
        </w:rPr>
        <w:lastRenderedPageBreak/>
        <w:t>Georges Didi-</w:t>
      </w:r>
      <w:proofErr w:type="spellStart"/>
      <w:r w:rsidRPr="00A62416">
        <w:rPr>
          <w:rFonts w:eastAsia="Calibri"/>
        </w:rPr>
        <w:t>Huberman</w:t>
      </w:r>
      <w:proofErr w:type="spellEnd"/>
      <w:r w:rsidRPr="00A62416">
        <w:rPr>
          <w:rFonts w:eastAsia="Calibri"/>
        </w:rPr>
        <w:t xml:space="preserve"> profetiza que “para conhecer os vaga-lumes, é preciso observá-los dançar vivos no meio da noite, ainda que essa noite seja varrida por alguns ferozes projetores. Ainda que por pouco tempo. Ainda que por pouca coisa a ser vista” (HUBERMAN, 2011, p. 52). Conhecer os vaga-lumes é buscar, nos pequenos gestos de luz, a força com a qual a cultura – que atravessa um período de desmonte silencioso – possa oferecer resistência às luzes ofuscantes do poder da política, da mídia e da racionalidade neoliberal.</w:t>
      </w:r>
    </w:p>
    <w:p w14:paraId="5CAD3658" w14:textId="77777777" w:rsidR="00041E46" w:rsidRPr="00A62416" w:rsidRDefault="00041E46" w:rsidP="00A2508F">
      <w:pPr>
        <w:spacing w:after="0" w:line="360" w:lineRule="auto"/>
        <w:ind w:firstLine="1134"/>
        <w:jc w:val="both"/>
        <w:rPr>
          <w:rFonts w:eastAsia="Calibri"/>
        </w:rPr>
      </w:pPr>
      <w:r w:rsidRPr="00A62416">
        <w:rPr>
          <w:rFonts w:eastAsia="Calibri"/>
        </w:rPr>
        <w:t>Para o autor, quando damos “exclusiva atenção ao horizonte” nos tornamos impossibilitados de olhar a imagem minúscula, em uma clara referência à noção deleuziana de literatura menor. Em consequência, esse é um movimento que não se pretende percorrer, porquanto existe uma “luz menor possuindo os mesmos aspectos filosóficos: ‘um forte coeficiente de desterritorialização’; ‘tudo ali é político’; ‘tudo adquire um valor coletivo’, de modo que tudo ali fala do povo e das ‘condições revolucionárias’ imanentes à sua própria marginalização” (HUBERMAN, 2011, p. 510). O presente artigo, nessa esteira, refuta o desaparecimento dos vaga-lumes. Refuta, portanto, o desespero político. Resiste ao desmanche silente das culturas populares, indígenas e afro-brasileiras, bem assim resiste ao aniquilamento de seus atores e suas luzes.</w:t>
      </w:r>
    </w:p>
    <w:p w14:paraId="7C0AAF4C" w14:textId="77777777" w:rsidR="00041E46" w:rsidRPr="00A62416" w:rsidRDefault="00041E46" w:rsidP="00A2508F">
      <w:pPr>
        <w:spacing w:after="0" w:line="360" w:lineRule="auto"/>
        <w:ind w:firstLine="1134"/>
        <w:jc w:val="both"/>
        <w:rPr>
          <w:rFonts w:eastAsia="Calibri"/>
        </w:rPr>
      </w:pPr>
      <w:r w:rsidRPr="00A62416">
        <w:rPr>
          <w:rFonts w:eastAsia="Calibri"/>
        </w:rPr>
        <w:t xml:space="preserve">O sistema jurídico brasileiro, como sabido, é composto por uma vastidão de normas que consideram as diferenças reais na sociedade e definem ações direcionadas </w:t>
      </w:r>
      <w:proofErr w:type="gramStart"/>
      <w:r w:rsidRPr="00A62416">
        <w:rPr>
          <w:rFonts w:eastAsia="Calibri"/>
        </w:rPr>
        <w:t>à</w:t>
      </w:r>
      <w:proofErr w:type="gramEnd"/>
      <w:r w:rsidRPr="00A62416">
        <w:rPr>
          <w:rFonts w:eastAsia="Calibri"/>
        </w:rPr>
        <w:t xml:space="preserve"> promover direitos de grupos específicos, a partir de uma concepção material de igualdade. Nesse toar, merecem destaque: a proteção das culturas populares, indígenas e afro-brasileiras. Desde o início, é preciso esclarecer que a proteção às manifestações culturais compõem o ramo do direito antidiscriminatório, porquanto pretende que as desigualdades e discriminações sejam revisitadas sob novo foco, além da produção de igualdades e oportunidades, mas com o intuito de fornecer aportes para consecução dos objetivos da República Federativa do Brasil no que toca à construção de uma sociedade livre, justa e solidária e promover o bem de todos sem preconceitos de origem, raça, sexo, cor, idade e quaisquer outras formas de discriminação. A proteção das manifestações culturais populares, indígenas e afro-brasileiras visa assegurar os direitos à liberdade, igualdade e dignidade humana à população historicamente vulnerabilizada e discriminada. É o caso, pois, dos indígenas, dos povos tradicionais e dos afrodescendentes; produtores de diversas manifestações culturais.</w:t>
      </w:r>
    </w:p>
    <w:p w14:paraId="40F3F4F0" w14:textId="77777777" w:rsidR="00041E46" w:rsidRPr="00A62416" w:rsidRDefault="00041E46" w:rsidP="00A2508F">
      <w:pPr>
        <w:spacing w:after="0" w:line="360" w:lineRule="auto"/>
        <w:ind w:firstLine="1134"/>
        <w:jc w:val="both"/>
        <w:rPr>
          <w:rFonts w:eastAsia="Calibri"/>
        </w:rPr>
      </w:pPr>
      <w:r w:rsidRPr="00A62416">
        <w:rPr>
          <w:rFonts w:eastAsia="Calibri"/>
        </w:rPr>
        <w:lastRenderedPageBreak/>
        <w:t xml:space="preserve">A necessidade de um sistema de reconhecimento de proteção da cultura remonta, em especial, ao fim da II Guerra Mundial. Todavia, na França, ainda no século XVIII, vários filósofos já conclamavam, em suas obras, tolerância e respeito com as produções simbólicas do agir humano. É o que podemos extrair, por exemplo, da leitura de </w:t>
      </w:r>
      <w:r w:rsidRPr="00A62416">
        <w:rPr>
          <w:rFonts w:eastAsia="Calibri"/>
          <w:i/>
          <w:iCs/>
        </w:rPr>
        <w:t>“Cândido, ou o Otimismo”</w:t>
      </w:r>
      <w:r w:rsidRPr="00A62416">
        <w:rPr>
          <w:rFonts w:eastAsia="Calibri"/>
        </w:rPr>
        <w:t>, de Voltaire. Com o fim da II Guerra Mundial, erigiu-se a construção de acordos internacionais com vistas à proteção dos processos culturais, como é o caso da Convenção n. 169 sobre Povos Indígenas e Tribais, dentre outras.</w:t>
      </w:r>
    </w:p>
    <w:p w14:paraId="6A087E9D" w14:textId="77777777" w:rsidR="00041E46" w:rsidRPr="00A62416" w:rsidRDefault="00041E46" w:rsidP="00A2508F">
      <w:pPr>
        <w:spacing w:after="0" w:line="360" w:lineRule="auto"/>
        <w:ind w:firstLine="1134"/>
        <w:jc w:val="both"/>
        <w:rPr>
          <w:rFonts w:eastAsia="Calibri"/>
        </w:rPr>
      </w:pPr>
      <w:r w:rsidRPr="00A62416">
        <w:rPr>
          <w:rFonts w:eastAsia="Calibri"/>
        </w:rPr>
        <w:t xml:space="preserve">É certo que as culturas populares, indígenas e afro-brasileiras gozam de proteção especial, pois simbolizam a riqueza e a diversidade de uma nação. Cultura popular, em apertada síntese, é a expressão que caracteriza um conjunto de elementos culturais específicos de uma nação ou região. Cultura popular inclui o folclore, o artesanato, as músicas, as danças, as festas, dentre outras. A cultura popular brasileira reúne um conjunto de lendas, mitos e tradições do Brasil, que estão situadas na história e na miscigenação de culturas, das quais se destacam: a portuguesa, a africana e a indígena. Muitas vezes classificada como cultura tradicional ou cultura de massas, a cultura popular é um conjunto de manifestações criadas por um grupo de pessoas que têm uma participação ativa nelas. A cultura popular é de fácil generalização e expressa uma conduta adotada por várias gerações em relação a um determinado contexto da sociedade. A grande maioria da cultura popular é transmitida oralmente. Registre-se que a cultura popular brasileira é caracterizada por diferentes categorias culturais, engendradas pelo regionalismo. Exemplos da cultura popular brasileira: a literatura de cordel, provérbios e ditados, lendas do folclore, cantigas de roda, bossa nova, samba, danças folclóricas, folia de reis, “bumba meu boi”, entre outras. A cultura indígena, por sua vez, é o conjunto de valores, conhecimentos, crenças e costumes dos povos nativos do Brasil. É importante salientar que não existe uma única cultura indígena, mas uma pluralidade cultural vasta, representada por povos com modos de pensar e agir únicos. Abarca a produção material e imaterial de inúmeros e distintos povos em todo o país. Na cultura material indígena destacam-se a confecção da arte plumária e da pintura corporal. As principais tribos produtoras desta cultura são: Guarani, Ticunas, Caingangue, Macuxi, Potiguara, Xavante e Ianomâmis. Por fim, a cultura afro-brasileira é o conjunto de manifestações culturais que receberam importante influência da cultura africana desde os tempos coloniais. Remonta, contudo, ao período colonial, quando o tráfico transatlântico de escravos forçou milhões de africanos a virem para o Brasil. A origem distinta dos africanos trazidos ao país forçou-os a apropriações e adaptações para que suas práticas e representações </w:t>
      </w:r>
      <w:r w:rsidRPr="00A62416">
        <w:rPr>
          <w:rFonts w:eastAsia="Calibri"/>
        </w:rPr>
        <w:lastRenderedPageBreak/>
        <w:t>culturais sobrevivessem. As manifestações, rituais e costumes africanos eram proibidos. Somente na década de 30, durante a Era Vargas, deixaram de ser proibidas.</w:t>
      </w:r>
    </w:p>
    <w:p w14:paraId="62EE4EA9" w14:textId="77777777" w:rsidR="00041E46" w:rsidRPr="00A62416" w:rsidRDefault="00041E46" w:rsidP="00A2508F">
      <w:pPr>
        <w:spacing w:after="0" w:line="360" w:lineRule="auto"/>
        <w:ind w:firstLine="1134"/>
        <w:jc w:val="both"/>
        <w:rPr>
          <w:rFonts w:eastAsia="Calibri"/>
        </w:rPr>
      </w:pPr>
      <w:r w:rsidRPr="00A62416">
        <w:rPr>
          <w:rFonts w:eastAsia="Calibri"/>
        </w:rPr>
        <w:t xml:space="preserve">Todas essas manifestações culturais, frise-se, contribuíram para a formação do processo civilizacional brasileiro e são, no canto de Maria Bethânia, na canção </w:t>
      </w:r>
      <w:r w:rsidRPr="00A62416">
        <w:rPr>
          <w:rFonts w:eastAsia="Calibri"/>
          <w:i/>
          <w:iCs/>
        </w:rPr>
        <w:t>Povos do Brasil</w:t>
      </w:r>
      <w:r w:rsidRPr="00A62416">
        <w:rPr>
          <w:rFonts w:eastAsia="Calibri"/>
        </w:rPr>
        <w:t>, “a herança cultural do nosso sangue”.</w:t>
      </w:r>
    </w:p>
    <w:p w14:paraId="6B4C8C5F" w14:textId="77777777" w:rsidR="00041E46" w:rsidRPr="00A62416" w:rsidRDefault="00041E46" w:rsidP="00A2508F">
      <w:pPr>
        <w:spacing w:after="0" w:line="360" w:lineRule="auto"/>
        <w:ind w:firstLine="1134"/>
        <w:jc w:val="both"/>
        <w:rPr>
          <w:rFonts w:eastAsia="Calibri"/>
        </w:rPr>
      </w:pPr>
      <w:r w:rsidRPr="00A62416">
        <w:rPr>
          <w:rFonts w:eastAsia="Calibri"/>
        </w:rPr>
        <w:t>No cenário atual as culturas populares, indígenas e afro-brasileiras enfrentam um ataque e um desmonte sem precedentes na história político-brasileira. A fragilização da legislação e a relativização das normas, considerando a situação pandêmica, agravaram, de modo quase irreversível, o patrimônio cultural do Brasil. É notório o ataque às leis de incentivo à cultura e o preconceito destilado às religiões de matriz africana, bem assim o descaso com a situação indigenista.</w:t>
      </w:r>
    </w:p>
    <w:p w14:paraId="72B216B0" w14:textId="77777777" w:rsidR="00041E46" w:rsidRPr="00A62416" w:rsidRDefault="00041E46" w:rsidP="00A2508F">
      <w:pPr>
        <w:spacing w:after="0" w:line="360" w:lineRule="auto"/>
        <w:ind w:firstLine="1134"/>
        <w:jc w:val="both"/>
        <w:rPr>
          <w:rFonts w:eastAsia="Calibri"/>
        </w:rPr>
      </w:pPr>
      <w:r w:rsidRPr="00A62416">
        <w:rPr>
          <w:rFonts w:eastAsia="Calibri"/>
        </w:rPr>
        <w:t>Atos omissivos e comissivos de autoridades vinculadas à União Federal têm gerado incalculáveis danos ao patrimônio público e social, na medida em que violam as garantias fundamentais do direito à cultura e ao acesso à cultura, em total descaso à ordem jurídica vigente e aos compromissos internacionais assumidos pelo Brasil.</w:t>
      </w:r>
    </w:p>
    <w:p w14:paraId="351D59A5" w14:textId="77777777" w:rsidR="00041E46" w:rsidRPr="00A62416" w:rsidRDefault="00041E46" w:rsidP="00A2508F">
      <w:pPr>
        <w:spacing w:after="0" w:line="360" w:lineRule="auto"/>
        <w:ind w:firstLine="1134"/>
        <w:jc w:val="both"/>
        <w:rPr>
          <w:rFonts w:eastAsia="Calibri"/>
        </w:rPr>
      </w:pPr>
      <w:r w:rsidRPr="00A62416">
        <w:rPr>
          <w:rFonts w:eastAsia="Calibri"/>
        </w:rPr>
        <w:t xml:space="preserve">Vejamos alguns exemplos: a) a propagação de </w:t>
      </w:r>
      <w:r w:rsidRPr="00A62416">
        <w:rPr>
          <w:rFonts w:eastAsia="Calibri"/>
          <w:i/>
          <w:iCs/>
        </w:rPr>
        <w:t xml:space="preserve">fake </w:t>
      </w:r>
      <w:proofErr w:type="spellStart"/>
      <w:r w:rsidRPr="00A62416">
        <w:rPr>
          <w:rFonts w:eastAsia="Calibri"/>
          <w:i/>
          <w:iCs/>
        </w:rPr>
        <w:t>news</w:t>
      </w:r>
      <w:proofErr w:type="spellEnd"/>
      <w:r w:rsidRPr="00A62416">
        <w:rPr>
          <w:rFonts w:eastAsia="Calibri"/>
        </w:rPr>
        <w:t xml:space="preserve"> com o intuito de atrelar os mecanismos de financiamento da Lei Rouanet a atividades supostamente clandestinas, imorais e criminosas, o que ocasionou uma verdadeira cruzada contra os sujeitos apoiadores da cultura; b) o rebaixamento do Ministério da Cultura à Secretaria Especial vinculada ao Ministério do Turismo; c) a nomeação de secretários sem perfil técnico ou qualificação desejável para os cargos; d) inúmeras limitações indevidas ao quantitativo de projetos culturais aprovados e etc.</w:t>
      </w:r>
    </w:p>
    <w:p w14:paraId="4204E496" w14:textId="77777777" w:rsidR="00041E46" w:rsidRPr="00A62416" w:rsidRDefault="00041E46" w:rsidP="00A2508F">
      <w:pPr>
        <w:spacing w:after="0" w:line="360" w:lineRule="auto"/>
        <w:ind w:firstLine="1134"/>
        <w:jc w:val="both"/>
        <w:rPr>
          <w:rFonts w:eastAsia="Calibri"/>
        </w:rPr>
      </w:pPr>
      <w:r w:rsidRPr="00A62416">
        <w:rPr>
          <w:rFonts w:eastAsia="Calibri"/>
        </w:rPr>
        <w:t>Um país que se quer diverso, democrático e plural deve buscar mecanismos de proteção das culturas populares. Deve, portanto, resistir aos discursos de desmantelamento das tradições e práticas culturais. Nesse ponto, Antônio Vieira, baiano de Santo Amaro da Purificação, já escreveu em um poema, imortalizado na voz de Maria Bethânia: “os nomes dos poetas populares deveriam estar na boca do povo, no contexto de uma sala de aula não estarem esses nomes me dá pena”.</w:t>
      </w:r>
    </w:p>
    <w:p w14:paraId="0F2D8FC7" w14:textId="33ECB8FC" w:rsidR="005C258A" w:rsidRPr="00A62416" w:rsidRDefault="00041E46" w:rsidP="00A2508F">
      <w:pPr>
        <w:spacing w:line="360" w:lineRule="auto"/>
        <w:ind w:firstLine="1134"/>
        <w:jc w:val="both"/>
        <w:rPr>
          <w:rFonts w:eastAsia="Calibri"/>
        </w:rPr>
      </w:pPr>
      <w:r w:rsidRPr="00A62416">
        <w:rPr>
          <w:rFonts w:eastAsia="Calibri"/>
        </w:rPr>
        <w:t xml:space="preserve">Nessa quadra, pergunta-se: quais os instrumentos, no horizonte da filosofia linguístico-pragmática, podem contribuir para fazer emergir, com vitalidade, aportes teóricos que contribuirão para adequada compreensão das normas de direito antidiscriminatório, em especial no que toca à proteção das manifestações culturais, adotando, contudo, uma posição </w:t>
      </w:r>
      <w:proofErr w:type="spellStart"/>
      <w:r w:rsidRPr="00A62416">
        <w:rPr>
          <w:rFonts w:eastAsia="Calibri"/>
        </w:rPr>
        <w:t>decolonial</w:t>
      </w:r>
      <w:proofErr w:type="spellEnd"/>
      <w:r w:rsidRPr="00A62416">
        <w:rPr>
          <w:rFonts w:eastAsia="Calibri"/>
        </w:rPr>
        <w:t>? Ainda, o referido aporte pode fortalecer as ações de resistência dos “pequenos vaga-lumes”</w:t>
      </w:r>
      <w:r w:rsidR="00A2508F">
        <w:rPr>
          <w:rFonts w:eastAsia="Calibri"/>
        </w:rPr>
        <w:t>?</w:t>
      </w:r>
    </w:p>
    <w:p w14:paraId="1E009629" w14:textId="0E314C63" w:rsidR="005C258A" w:rsidRPr="00A2508F" w:rsidRDefault="005C258A" w:rsidP="00A2508F">
      <w:pPr>
        <w:spacing w:line="360" w:lineRule="auto"/>
        <w:jc w:val="both"/>
        <w:rPr>
          <w:rFonts w:eastAsia="Calibri"/>
          <w:b/>
          <w:bCs/>
        </w:rPr>
      </w:pPr>
      <w:r w:rsidRPr="00A2508F">
        <w:rPr>
          <w:rFonts w:eastAsia="Calibri"/>
          <w:b/>
          <w:bCs/>
        </w:rPr>
        <w:lastRenderedPageBreak/>
        <w:t>DESENVOLVIMENTO</w:t>
      </w:r>
    </w:p>
    <w:p w14:paraId="7A487C26" w14:textId="70A03EE5" w:rsidR="00041E46" w:rsidRPr="00A62416" w:rsidRDefault="005C258A" w:rsidP="00A2508F">
      <w:pPr>
        <w:spacing w:line="360" w:lineRule="auto"/>
        <w:ind w:firstLine="1134"/>
        <w:jc w:val="both"/>
        <w:rPr>
          <w:rFonts w:eastAsia="Calibri"/>
        </w:rPr>
      </w:pPr>
      <w:r w:rsidRPr="00A62416">
        <w:rPr>
          <w:rFonts w:eastAsia="Calibri"/>
        </w:rPr>
        <w:t>C</w:t>
      </w:r>
      <w:r w:rsidR="00041E46" w:rsidRPr="00A62416">
        <w:rPr>
          <w:rFonts w:eastAsia="Calibri"/>
        </w:rPr>
        <w:t>onsiderando as discussões acerca do alcance do direito à igualdade, bem assim da cláusula constitucional que proíbe a discriminação, é imperioso buscar, nos meandros da hermenêutica filosófica, compreensões e conceitos que possibilitem delinear à referida proteção e conduzam ao fortalecimento do Estado Democrático de Direito e o empoderamento dos focos de resistência. A hermenêutica filosófica assume vital importância nesse campo, porquanto o Direito depende da mediação hermenêutica. É que, sem hermenêutica, inexiste Direito. Não é de se desconsiderar, contudo, o paradigma interpretativo erigido no curso do século XX: a reviravolta linguístico-pragmática na filosofia contemporânea. Nesse diapasão, registra-se que o fenômeno jurídico, em todos os países que adotam a democracia constitucional, deve ser compreendido, interpretado e aplicado a partir da centralidade da linguagem. As construções hermenêuticas, contudo, se dão com base no diálogo. E, nesse ponto, buscam, segundo Gadamer, o seguinte resultado:</w:t>
      </w:r>
    </w:p>
    <w:p w14:paraId="406BB37A" w14:textId="798D4CF2" w:rsidR="00041E46" w:rsidRPr="00A2508F" w:rsidRDefault="00041E46" w:rsidP="00A2508F">
      <w:pPr>
        <w:spacing w:line="240" w:lineRule="auto"/>
        <w:ind w:left="2268"/>
        <w:jc w:val="both"/>
        <w:rPr>
          <w:rFonts w:eastAsia="Calibri"/>
          <w:sz w:val="20"/>
          <w:szCs w:val="20"/>
        </w:rPr>
      </w:pPr>
      <w:r w:rsidRPr="00A62416">
        <w:rPr>
          <w:rFonts w:eastAsia="Calibri"/>
          <w:sz w:val="20"/>
          <w:szCs w:val="20"/>
        </w:rPr>
        <w:t>Nós nos aproximamos mais da linguagem quando pensamos no diálogo. Para que um diálogo aconteça, tudo precisa de afinar. Quando o companheiro de diálogo não nos acompanha e não vai além de sua resposta, mas só tem em vista, por exemplo, com que meios de contra argumentação ele pode limitar o que foi dito ou mesmo com que argumentações lógicas ele pode estabelecer uma refutação, não há diálogo algum – um diálogo frutífero é um diálogo no qual oferecer e escolher, acolher e oferecer conduzem, por fim, a algo que se mostra como um sítio comum com o qual estamos familiarizados e no qual podemos nos movimentar uns com os outros (GADAMER, 2007</w:t>
      </w:r>
      <w:r w:rsidR="005C258A" w:rsidRPr="00A62416">
        <w:rPr>
          <w:rFonts w:eastAsia="Calibri"/>
          <w:sz w:val="20"/>
          <w:szCs w:val="20"/>
        </w:rPr>
        <w:t xml:space="preserve">, </w:t>
      </w:r>
      <w:proofErr w:type="spellStart"/>
      <w:r w:rsidR="005C258A" w:rsidRPr="00A62416">
        <w:rPr>
          <w:rFonts w:eastAsia="Calibri"/>
          <w:sz w:val="20"/>
          <w:szCs w:val="20"/>
        </w:rPr>
        <w:t>n.p</w:t>
      </w:r>
      <w:proofErr w:type="spellEnd"/>
      <w:r w:rsidRPr="00A62416">
        <w:rPr>
          <w:rFonts w:eastAsia="Calibri"/>
          <w:sz w:val="20"/>
          <w:szCs w:val="20"/>
        </w:rPr>
        <w:t>).</w:t>
      </w:r>
    </w:p>
    <w:p w14:paraId="7ED11AFF" w14:textId="77777777" w:rsidR="00041E46" w:rsidRPr="00A62416" w:rsidRDefault="00041E46" w:rsidP="00A2508F">
      <w:pPr>
        <w:spacing w:after="0" w:line="360" w:lineRule="auto"/>
        <w:ind w:firstLine="1134"/>
        <w:jc w:val="both"/>
        <w:rPr>
          <w:rFonts w:eastAsia="Calibri"/>
        </w:rPr>
      </w:pPr>
      <w:r w:rsidRPr="00A62416">
        <w:rPr>
          <w:rFonts w:eastAsia="Calibri"/>
        </w:rPr>
        <w:t xml:space="preserve">Nesse contexto, a temática do presente estudo gira em torno da reflexão acerca da plena possibilidade de abertura dialógica da hermenêutica filosófica de Hans-Georg Gadamer à compreensão das normas que consagram direitos antidiscriminatórios, em especial à proteção contida no artigo 215, </w:t>
      </w:r>
      <w:bookmarkStart w:id="0" w:name="_Hlk75532255"/>
      <w:r w:rsidRPr="00A62416">
        <w:rPr>
          <w:rFonts w:eastAsia="Calibri"/>
        </w:rPr>
        <w:t>§ 1º da Constituição Federal. Contudo, o esforço se situa na possibilidade de libertar o conhecimento da epistemologia eurocêntrica, atribuindo-lhe sentido a partir do espaço latino-americano, em especial a partir das comunidades ribeirinhas, indígenas e africanas da região norte do Brasil.</w:t>
      </w:r>
    </w:p>
    <w:p w14:paraId="37059403" w14:textId="77777777" w:rsidR="00041E46" w:rsidRPr="00A62416" w:rsidRDefault="00041E46" w:rsidP="00A2508F">
      <w:pPr>
        <w:spacing w:after="0" w:line="360" w:lineRule="auto"/>
        <w:ind w:firstLine="1134"/>
        <w:jc w:val="both"/>
        <w:rPr>
          <w:rFonts w:eastAsia="Calibri"/>
        </w:rPr>
      </w:pPr>
      <w:r w:rsidRPr="00A62416">
        <w:rPr>
          <w:rFonts w:eastAsia="Calibri"/>
        </w:rPr>
        <w:t xml:space="preserve">O artigo 215, § 1º da Constituição Federal determinou que o Estado proteja as manifestações culturais, indígenas e afro-brasileiras, e das de outros grupos participantes do processo civilizatório nacional. É certo que o conceito de cultura, no projeto constitucional brasileiro, está atrelado à formação ideológica dos nossos constituintes, sedimentada após sucessivas gerações e reedições constantes de instrumentos normativos constitucionais. Desde a noção de cultura como “cultivo da terra” à de “idoneidade moral”, a ideia de cultura transitou todo o arcabouço normativo </w:t>
      </w:r>
      <w:r w:rsidRPr="00A62416">
        <w:rPr>
          <w:rFonts w:eastAsia="Calibri"/>
        </w:rPr>
        <w:lastRenderedPageBreak/>
        <w:t xml:space="preserve">brasileiro, embora sempre atrelada às noções de família, ensino, </w:t>
      </w:r>
      <w:r w:rsidRPr="00A62416">
        <w:rPr>
          <w:rFonts w:eastAsia="Calibri"/>
          <w:i/>
          <w:iCs/>
        </w:rPr>
        <w:t>status</w:t>
      </w:r>
      <w:r w:rsidRPr="00A62416">
        <w:rPr>
          <w:rFonts w:eastAsia="Calibri"/>
        </w:rPr>
        <w:t xml:space="preserve"> social, trabalho, bem </w:t>
      </w:r>
      <w:proofErr w:type="gramStart"/>
      <w:r w:rsidRPr="00A62416">
        <w:rPr>
          <w:rFonts w:eastAsia="Calibri"/>
        </w:rPr>
        <w:t>e</w:t>
      </w:r>
      <w:proofErr w:type="gramEnd"/>
      <w:r w:rsidRPr="00A62416">
        <w:rPr>
          <w:rFonts w:eastAsia="Calibri"/>
        </w:rPr>
        <w:t xml:space="preserve"> valor.</w:t>
      </w:r>
    </w:p>
    <w:bookmarkEnd w:id="0"/>
    <w:p w14:paraId="6C0BF5CD" w14:textId="77777777" w:rsidR="00041E46" w:rsidRPr="00A62416" w:rsidRDefault="00041E46" w:rsidP="00A2508F">
      <w:pPr>
        <w:spacing w:after="0" w:line="360" w:lineRule="auto"/>
        <w:ind w:firstLine="1134"/>
        <w:jc w:val="both"/>
        <w:rPr>
          <w:rFonts w:eastAsia="Calibri"/>
        </w:rPr>
      </w:pPr>
      <w:r w:rsidRPr="00A62416">
        <w:rPr>
          <w:rFonts w:eastAsia="Calibri"/>
        </w:rPr>
        <w:t>Com efeito, a hermenêutica filosófica de Hans-Georg Gadamer, em especial o conceito de tradição, pode contribuir para a compreensão das normas de direito antidiscriminatório, em especial no que toca à proteção das culturas populares, indígenas e afro-brasileiras. Vejamos.</w:t>
      </w:r>
    </w:p>
    <w:p w14:paraId="21E1BAF3" w14:textId="77777777" w:rsidR="00041E46" w:rsidRPr="00A62416" w:rsidRDefault="00041E46" w:rsidP="00A2508F">
      <w:pPr>
        <w:spacing w:after="0" w:line="360" w:lineRule="auto"/>
        <w:ind w:firstLine="1134"/>
        <w:jc w:val="both"/>
        <w:rPr>
          <w:rFonts w:eastAsia="Calibri"/>
        </w:rPr>
      </w:pPr>
      <w:r w:rsidRPr="00A62416">
        <w:rPr>
          <w:rFonts w:eastAsia="Calibri"/>
        </w:rPr>
        <w:t xml:space="preserve">Inicialmente, cumpre destacar que a hermenêutica </w:t>
      </w:r>
      <w:proofErr w:type="spellStart"/>
      <w:r w:rsidRPr="00A62416">
        <w:rPr>
          <w:rFonts w:eastAsia="Calibri"/>
        </w:rPr>
        <w:t>gadameriana</w:t>
      </w:r>
      <w:proofErr w:type="spellEnd"/>
      <w:r w:rsidRPr="00A62416">
        <w:rPr>
          <w:rFonts w:eastAsia="Calibri"/>
        </w:rPr>
        <w:t xml:space="preserve"> nos ensina que a compreensão e atribuição de sentidos está relacionada, primordialmente, à totalidade do acesso humano ao mundo, porquanto a sua realização plena ocorre por meio da linguagem, e, mais especificamente, mediante o diálogo. A linguagem é, portanto, constituidora do nosso saber e do modo como agimos e transformamos o mundo. </w:t>
      </w:r>
    </w:p>
    <w:p w14:paraId="51E416D9" w14:textId="0AAE5F20" w:rsidR="00041E46" w:rsidRPr="00A2508F" w:rsidRDefault="00041E46" w:rsidP="00A2508F">
      <w:pPr>
        <w:spacing w:line="360" w:lineRule="auto"/>
        <w:ind w:firstLine="1134"/>
        <w:jc w:val="both"/>
        <w:rPr>
          <w:rFonts w:eastAsia="Calibri"/>
        </w:rPr>
      </w:pPr>
      <w:r w:rsidRPr="00A62416">
        <w:rPr>
          <w:rFonts w:eastAsia="Calibri"/>
        </w:rPr>
        <w:t xml:space="preserve">Nesse sentido </w:t>
      </w:r>
      <w:proofErr w:type="spellStart"/>
      <w:r w:rsidRPr="00A62416">
        <w:rPr>
          <w:rFonts w:eastAsia="Calibri"/>
        </w:rPr>
        <w:t>Lênio</w:t>
      </w:r>
      <w:proofErr w:type="spellEnd"/>
      <w:r w:rsidRPr="00A62416">
        <w:rPr>
          <w:rFonts w:eastAsia="Calibri"/>
        </w:rPr>
        <w:t xml:space="preserve"> </w:t>
      </w:r>
      <w:proofErr w:type="spellStart"/>
      <w:r w:rsidRPr="00A62416">
        <w:rPr>
          <w:rFonts w:eastAsia="Calibri"/>
        </w:rPr>
        <w:t>Streck</w:t>
      </w:r>
      <w:proofErr w:type="spellEnd"/>
      <w:r w:rsidRPr="00A62416">
        <w:rPr>
          <w:rFonts w:eastAsia="Calibri"/>
        </w:rPr>
        <w:t xml:space="preserve"> afirma:</w:t>
      </w:r>
    </w:p>
    <w:p w14:paraId="50258CF3" w14:textId="456F082B" w:rsidR="00041E46" w:rsidRPr="00A2508F" w:rsidRDefault="00041E46" w:rsidP="00A2508F">
      <w:pPr>
        <w:spacing w:line="240" w:lineRule="auto"/>
        <w:ind w:left="2268"/>
        <w:jc w:val="both"/>
        <w:rPr>
          <w:rFonts w:eastAsia="Calibri"/>
          <w:sz w:val="20"/>
          <w:szCs w:val="20"/>
        </w:rPr>
      </w:pPr>
      <w:r w:rsidRPr="00A62416">
        <w:rPr>
          <w:rFonts w:eastAsia="Calibri"/>
          <w:sz w:val="20"/>
          <w:szCs w:val="20"/>
        </w:rPr>
        <w:t xml:space="preserve">Em Gadamer, o primado da linguagem é o sustentáculo de seu projeto hermenêutico. Esse lugar cimeiro assumido pela linguagem é o sinal para o desencadeamento do giro linguístico. Em sua principal obra, fala-nos de um acontecer da verdade no qual já sempre estamos embarcados pela tradição. Esse acontecer da verdade ocorre fenomenologicamente. Sua hermenêutica é filosófica e não metódica. Hermenêutica será, assim, o </w:t>
      </w:r>
      <w:proofErr w:type="spellStart"/>
      <w:r w:rsidRPr="00A62416">
        <w:rPr>
          <w:rFonts w:eastAsia="Calibri"/>
          <w:sz w:val="20"/>
          <w:szCs w:val="20"/>
        </w:rPr>
        <w:t>ex-surgir</w:t>
      </w:r>
      <w:proofErr w:type="spellEnd"/>
      <w:r w:rsidRPr="00A62416">
        <w:rPr>
          <w:rFonts w:eastAsia="Calibri"/>
          <w:sz w:val="20"/>
          <w:szCs w:val="20"/>
        </w:rPr>
        <w:t xml:space="preserve"> da compreensão, a qual dependerá da facticidade e historicidade do intérprete (STRECK, 2014, p. 304).</w:t>
      </w:r>
    </w:p>
    <w:p w14:paraId="4B9D2B5B" w14:textId="77777777" w:rsidR="00041E46" w:rsidRPr="00A62416" w:rsidRDefault="00041E46" w:rsidP="00A2508F">
      <w:pPr>
        <w:pStyle w:val="Normal2"/>
        <w:ind w:firstLine="1134"/>
        <w:rPr>
          <w:rFonts w:ascii="Times New Roman" w:hAnsi="Times New Roman" w:cs="Times New Roman"/>
        </w:rPr>
      </w:pPr>
      <w:r w:rsidRPr="00A62416">
        <w:rPr>
          <w:rFonts w:ascii="Times New Roman" w:hAnsi="Times New Roman" w:cs="Times New Roman"/>
        </w:rPr>
        <w:t>Com base em Gadamer temos que a condição do ser humano no mundo vai determinar o sentido de todo texto posto, uma vez que esse sentido é dado por meio do próprio sujeito inserido na tradição, limitado pela sua facticidade e historicidade; fatores que permitirão a exata compreensão de sentido.</w:t>
      </w:r>
    </w:p>
    <w:p w14:paraId="67951D2B" w14:textId="77777777" w:rsidR="00041E46" w:rsidRPr="00A62416" w:rsidRDefault="00041E46" w:rsidP="00A2508F">
      <w:pPr>
        <w:spacing w:after="0" w:line="360" w:lineRule="auto"/>
        <w:ind w:firstLine="1134"/>
        <w:jc w:val="both"/>
        <w:rPr>
          <w:rFonts w:eastAsia="Calibri"/>
        </w:rPr>
      </w:pPr>
      <w:r w:rsidRPr="00A62416">
        <w:rPr>
          <w:rFonts w:eastAsia="Calibri"/>
        </w:rPr>
        <w:t>Deste modo, é essencial que, na atribuição de sentido à norma posta no artigo 215, § 1º da Constituição Federal, o conceito de tradição de Gadamer seja escorreitamente compreendido. O conceito de tradição para Gadamer está inter-relacionado com a linguagem. É que tal relação está integrada no sujeito que fala a partir de um contexto e se assume como tal, motivo que nos leva a crer que a tradição representa um ato racionalizado e um desenvolver histórico. Nas palavras do próprio Gadamer, “a tradição é essencialmente conservação e como tal está atuante nas mudanças históricas” (GADAMER, 2014, p. 373).</w:t>
      </w:r>
    </w:p>
    <w:p w14:paraId="60C74A99" w14:textId="3DC36E50" w:rsidR="00041E46" w:rsidRPr="00A2508F" w:rsidRDefault="00041E46" w:rsidP="00A2508F">
      <w:pPr>
        <w:spacing w:line="360" w:lineRule="auto"/>
        <w:ind w:firstLine="1134"/>
        <w:jc w:val="both"/>
        <w:rPr>
          <w:rFonts w:eastAsia="Calibri"/>
        </w:rPr>
      </w:pPr>
      <w:r w:rsidRPr="00A62416">
        <w:rPr>
          <w:rFonts w:eastAsia="Calibri"/>
        </w:rPr>
        <w:t xml:space="preserve">De acordo com Wagner Wilson </w:t>
      </w:r>
      <w:proofErr w:type="spellStart"/>
      <w:r w:rsidRPr="00A62416">
        <w:rPr>
          <w:rFonts w:eastAsia="Calibri"/>
        </w:rPr>
        <w:t>Deiró</w:t>
      </w:r>
      <w:proofErr w:type="spellEnd"/>
      <w:r w:rsidRPr="00A62416">
        <w:rPr>
          <w:rFonts w:eastAsia="Calibri"/>
        </w:rPr>
        <w:t xml:space="preserve"> </w:t>
      </w:r>
      <w:proofErr w:type="spellStart"/>
      <w:r w:rsidRPr="00A62416">
        <w:rPr>
          <w:rFonts w:eastAsia="Calibri"/>
        </w:rPr>
        <w:t>Gundim</w:t>
      </w:r>
      <w:proofErr w:type="spellEnd"/>
      <w:r w:rsidRPr="00A62416">
        <w:rPr>
          <w:rFonts w:eastAsia="Calibri"/>
        </w:rPr>
        <w:t>:</w:t>
      </w:r>
    </w:p>
    <w:p w14:paraId="1FB7ECBF" w14:textId="24488E3D" w:rsidR="00041E46" w:rsidRPr="00A2508F" w:rsidRDefault="00041E46" w:rsidP="00A2508F">
      <w:pPr>
        <w:spacing w:line="240" w:lineRule="auto"/>
        <w:ind w:left="2268"/>
        <w:jc w:val="both"/>
        <w:rPr>
          <w:rFonts w:eastAsia="Calibri"/>
          <w:sz w:val="20"/>
          <w:szCs w:val="20"/>
        </w:rPr>
      </w:pPr>
      <w:r w:rsidRPr="00A62416">
        <w:rPr>
          <w:rFonts w:eastAsia="Calibri"/>
          <w:sz w:val="20"/>
          <w:szCs w:val="20"/>
        </w:rPr>
        <w:t xml:space="preserve">Ao reconhecer a importância da tradição para a compreensão humana Gadamer não a retrata como </w:t>
      </w:r>
      <w:proofErr w:type="gramStart"/>
      <w:r w:rsidRPr="00A62416">
        <w:rPr>
          <w:rFonts w:eastAsia="Calibri"/>
          <w:sz w:val="20"/>
          <w:szCs w:val="20"/>
        </w:rPr>
        <w:t>uma natural</w:t>
      </w:r>
      <w:proofErr w:type="gramEnd"/>
      <w:r w:rsidRPr="00A62416">
        <w:rPr>
          <w:rFonts w:eastAsia="Calibri"/>
          <w:sz w:val="20"/>
          <w:szCs w:val="20"/>
        </w:rPr>
        <w:t xml:space="preserve"> continuidade histórica, como se um mero progresso histórico fosse, mas percebe que há uma variação temporal na adoção de concepções distintas, por vezes excludentes entre si e desprovidas de unidade harmônica. Assim, a tradição deve ser vista como consciência </w:t>
      </w:r>
      <w:r w:rsidRPr="00A62416">
        <w:rPr>
          <w:rFonts w:eastAsia="Calibri"/>
          <w:sz w:val="20"/>
          <w:szCs w:val="20"/>
        </w:rPr>
        <w:lastRenderedPageBreak/>
        <w:t xml:space="preserve">histórica perceptível aos efeitos históricos que interferem e atuam sobre a sua compreensão, de modo que sua relação com o passado seja </w:t>
      </w:r>
      <w:proofErr w:type="gramStart"/>
      <w:r w:rsidRPr="00A62416">
        <w:rPr>
          <w:rFonts w:eastAsia="Calibri"/>
          <w:sz w:val="20"/>
          <w:szCs w:val="20"/>
        </w:rPr>
        <w:t>tido</w:t>
      </w:r>
      <w:proofErr w:type="gramEnd"/>
      <w:r w:rsidRPr="00A62416">
        <w:rPr>
          <w:rFonts w:eastAsia="Calibri"/>
          <w:sz w:val="20"/>
          <w:szCs w:val="20"/>
        </w:rPr>
        <w:t xml:space="preserve"> como algo dinâmico que se encontra e se integra à tradição, projetando, por meio de seus efeitos, preconceitos que origina e conserva (GUNDIM, 2020, p. 195).</w:t>
      </w:r>
    </w:p>
    <w:p w14:paraId="62EC6455" w14:textId="023886B8" w:rsidR="00041E46" w:rsidRPr="00A2508F" w:rsidRDefault="00041E46" w:rsidP="00A2508F">
      <w:pPr>
        <w:spacing w:line="360" w:lineRule="auto"/>
        <w:ind w:firstLine="1134"/>
        <w:jc w:val="both"/>
        <w:rPr>
          <w:rFonts w:eastAsia="Calibri"/>
        </w:rPr>
      </w:pPr>
      <w:r w:rsidRPr="00A62416">
        <w:rPr>
          <w:rFonts w:eastAsia="Calibri"/>
        </w:rPr>
        <w:t>Nesse ponto, é importante destacar que o sujeito-intérprete capta o sentido do mundo por meio da linguagem. Capta, portanto, a tradição, pois nela encontra-se imerso. A partir disso, o intérprete estabelece uma ação dialógica que se afina com o entender e existir humano, dentro de um espaço de possibilidades. Manfredo Araújo de Oliveira, nesse ponto, destaca:</w:t>
      </w:r>
    </w:p>
    <w:p w14:paraId="0D826261" w14:textId="0BC28A6E" w:rsidR="00041E46" w:rsidRPr="00A2508F" w:rsidRDefault="00041E46" w:rsidP="00A2508F">
      <w:pPr>
        <w:spacing w:line="240" w:lineRule="auto"/>
        <w:ind w:left="2268"/>
        <w:jc w:val="both"/>
        <w:rPr>
          <w:rFonts w:eastAsia="Calibri"/>
          <w:sz w:val="20"/>
          <w:szCs w:val="20"/>
        </w:rPr>
      </w:pPr>
      <w:r w:rsidRPr="00A62416">
        <w:rPr>
          <w:rFonts w:eastAsia="Calibri"/>
          <w:sz w:val="20"/>
          <w:szCs w:val="20"/>
        </w:rPr>
        <w:t>No jogo [de linguagem], o homem age, mas não simplesmente como indivíduo isolado de acordo com seu próprio arbítrio, e sim de acordo com regras e normas que ele juntamente com outros indivíduos estabeleceu. Essas regras constituem um quadro de referência intersubjetivo que, por um lado, determina as fronteiras das ações possíveis, estabelecidas comunitariamente, e, por outro, deixa o indivíduo, dentro dele, o espaço para as iniciativas (OLIVEIRA, 2015, p. 143-144).</w:t>
      </w:r>
    </w:p>
    <w:p w14:paraId="7DD897AE" w14:textId="1CC83CDF" w:rsidR="00041E46" w:rsidRPr="00A62416" w:rsidRDefault="00041E46" w:rsidP="00A2508F">
      <w:pPr>
        <w:spacing w:line="360" w:lineRule="auto"/>
        <w:ind w:firstLine="708"/>
        <w:jc w:val="both"/>
        <w:rPr>
          <w:rFonts w:eastAsia="Calibri"/>
        </w:rPr>
      </w:pPr>
      <w:r w:rsidRPr="00A62416">
        <w:rPr>
          <w:rFonts w:eastAsia="Calibri"/>
        </w:rPr>
        <w:t xml:space="preserve">Segundo Wagner Wilson </w:t>
      </w:r>
      <w:proofErr w:type="spellStart"/>
      <w:r w:rsidRPr="00A62416">
        <w:rPr>
          <w:rFonts w:eastAsia="Calibri"/>
        </w:rPr>
        <w:t>Deiró</w:t>
      </w:r>
      <w:proofErr w:type="spellEnd"/>
      <w:r w:rsidRPr="00A62416">
        <w:rPr>
          <w:rFonts w:eastAsia="Calibri"/>
        </w:rPr>
        <w:t xml:space="preserve"> </w:t>
      </w:r>
      <w:proofErr w:type="spellStart"/>
      <w:r w:rsidRPr="00A62416">
        <w:rPr>
          <w:rFonts w:eastAsia="Calibri"/>
        </w:rPr>
        <w:t>Gundim</w:t>
      </w:r>
      <w:proofErr w:type="spellEnd"/>
      <w:r w:rsidRPr="00A62416">
        <w:rPr>
          <w:rFonts w:eastAsia="Calibri"/>
        </w:rPr>
        <w:t>:</w:t>
      </w:r>
    </w:p>
    <w:p w14:paraId="22E9BE6E" w14:textId="05829038" w:rsidR="00041E46" w:rsidRPr="00A2508F" w:rsidRDefault="00041E46" w:rsidP="00A2508F">
      <w:pPr>
        <w:spacing w:line="240" w:lineRule="auto"/>
        <w:ind w:left="2268"/>
        <w:jc w:val="both"/>
        <w:rPr>
          <w:rFonts w:eastAsia="Calibri"/>
          <w:sz w:val="20"/>
          <w:szCs w:val="20"/>
        </w:rPr>
      </w:pPr>
      <w:r w:rsidRPr="00A62416">
        <w:rPr>
          <w:rFonts w:eastAsia="Calibri"/>
          <w:sz w:val="20"/>
          <w:szCs w:val="20"/>
        </w:rPr>
        <w:t>Como a tradição está enraizada por preconceitos, os quais se apresentam como condição de cada momento compreensivo e constituem o modo de ser do homem, sua abertura e projeção ao mundo, aquele que vislumbra a historicidade, reconhece a existência dos limites de toda a compreensão e a atuação dos preconceitos em tudo que é concebido, fato que o orienta para uma relação investigava com o passado, mas também com os outros mediante opiniões já consolidadas, “dando abertura a possibilidade de provocar grandes rupturas e mesmo de conservar suas opiniões vigorosamente (GUNDIM, 2020, p. 195).</w:t>
      </w:r>
    </w:p>
    <w:p w14:paraId="0BD61DCE" w14:textId="1CE8D068" w:rsidR="00041E46" w:rsidRPr="00A2508F" w:rsidRDefault="00041E46" w:rsidP="00A2508F">
      <w:pPr>
        <w:spacing w:line="360" w:lineRule="auto"/>
        <w:ind w:firstLine="708"/>
        <w:jc w:val="both"/>
        <w:rPr>
          <w:rFonts w:eastAsia="Calibri"/>
        </w:rPr>
      </w:pPr>
      <w:r w:rsidRPr="00A62416">
        <w:rPr>
          <w:rFonts w:eastAsia="Calibri"/>
        </w:rPr>
        <w:t>Nessa quadra, Gadamer indica:</w:t>
      </w:r>
    </w:p>
    <w:p w14:paraId="724FA70B" w14:textId="64176F76" w:rsidR="00041E46" w:rsidRPr="00A2508F" w:rsidRDefault="00041E46" w:rsidP="00A2508F">
      <w:pPr>
        <w:spacing w:line="240" w:lineRule="auto"/>
        <w:ind w:left="2268"/>
        <w:jc w:val="both"/>
        <w:rPr>
          <w:rFonts w:eastAsia="Calibri"/>
          <w:sz w:val="20"/>
          <w:szCs w:val="20"/>
        </w:rPr>
      </w:pPr>
      <w:r w:rsidRPr="00A62416">
        <w:rPr>
          <w:rFonts w:eastAsia="Calibri"/>
          <w:sz w:val="20"/>
          <w:szCs w:val="20"/>
        </w:rPr>
        <w:t>O que satisfaz nossa consciência histórica é sempre uma pluralidade de vozes nas quais ressoa o passado. O passado só aparece na diversidade dessas vozes. É isso que constitui a essência da tradição da qual participamos e queremos participar. A própria investigação histórica moderna não é só investigação, mas também mediação da tradição. Não a vemos somente sob a lei do progresso e dos resultados assegurados; nela também realizamos nossas experiências históricas, na medida em que permite que ouçamos cada vez uma nova voz em que ressoa o passado (GADAMER, 2014, p. 377).</w:t>
      </w:r>
    </w:p>
    <w:p w14:paraId="74C8468E" w14:textId="77777777" w:rsidR="00041E46" w:rsidRPr="00A62416" w:rsidRDefault="00041E46" w:rsidP="00A2508F">
      <w:pPr>
        <w:spacing w:after="0" w:line="360" w:lineRule="auto"/>
        <w:ind w:firstLine="1134"/>
        <w:jc w:val="both"/>
        <w:rPr>
          <w:rFonts w:eastAsia="Calibri"/>
        </w:rPr>
      </w:pPr>
      <w:r w:rsidRPr="00A62416">
        <w:rPr>
          <w:rFonts w:eastAsia="Calibri"/>
        </w:rPr>
        <w:t>A tradição, portanto, representa tudo o que abrange o existir humano na e a partir da linguagem, aquilo que foi semeado e repassado por gerações: os preconceitos, a história e os efeitos que dela emergem.</w:t>
      </w:r>
    </w:p>
    <w:p w14:paraId="4247B5A3" w14:textId="77777777" w:rsidR="00041E46" w:rsidRPr="00A62416" w:rsidRDefault="00041E46" w:rsidP="00A2508F">
      <w:pPr>
        <w:spacing w:after="0" w:line="360" w:lineRule="auto"/>
        <w:ind w:firstLine="1134"/>
        <w:jc w:val="both"/>
        <w:rPr>
          <w:rFonts w:eastAsia="Calibri"/>
        </w:rPr>
      </w:pPr>
      <w:r w:rsidRPr="00A62416">
        <w:rPr>
          <w:rFonts w:eastAsia="Calibri"/>
        </w:rPr>
        <w:t xml:space="preserve">Além do conceito de tradição é necessário apresentar importantes aspectos da teoria desenvolvida por Gadamer, tais como a </w:t>
      </w:r>
      <w:proofErr w:type="spellStart"/>
      <w:r w:rsidRPr="00A62416">
        <w:rPr>
          <w:rFonts w:eastAsia="Calibri"/>
        </w:rPr>
        <w:t>pré</w:t>
      </w:r>
      <w:proofErr w:type="spellEnd"/>
      <w:r w:rsidRPr="00A62416">
        <w:rPr>
          <w:rFonts w:eastAsia="Calibri"/>
        </w:rPr>
        <w:t>-compreensão, a compreensão e a fusão de horizontes. Esse é o caminho que se seguirá.</w:t>
      </w:r>
    </w:p>
    <w:p w14:paraId="08847692" w14:textId="73B574C5" w:rsidR="00041E46" w:rsidRPr="00A2508F" w:rsidRDefault="00041E46" w:rsidP="00A2508F">
      <w:pPr>
        <w:spacing w:line="360" w:lineRule="auto"/>
        <w:ind w:firstLine="1134"/>
        <w:jc w:val="both"/>
        <w:rPr>
          <w:rFonts w:eastAsia="Calibri"/>
        </w:rPr>
      </w:pPr>
      <w:r w:rsidRPr="00A62416">
        <w:rPr>
          <w:rFonts w:eastAsia="Calibri"/>
        </w:rPr>
        <w:t xml:space="preserve">A compreensão e atribuição de sentidos se constituirá como tarefa constante de reformulação de determinadas perspectivas do intérprete. As perspectivas são opiniões </w:t>
      </w:r>
      <w:r w:rsidRPr="00A62416">
        <w:rPr>
          <w:rFonts w:eastAsia="Calibri"/>
        </w:rPr>
        <w:lastRenderedPageBreak/>
        <w:t xml:space="preserve">anteriores que, de algum modo, antecipam o sentido e que precisam ser reformuladas para que sejam estabelecidas uma certa unidade de sentido. A noção de </w:t>
      </w:r>
      <w:proofErr w:type="spellStart"/>
      <w:r w:rsidRPr="00A62416">
        <w:rPr>
          <w:rFonts w:eastAsia="Calibri"/>
        </w:rPr>
        <w:t>pré</w:t>
      </w:r>
      <w:proofErr w:type="spellEnd"/>
      <w:r w:rsidRPr="00A62416">
        <w:rPr>
          <w:rFonts w:eastAsia="Calibri"/>
        </w:rPr>
        <w:t>-compreensão, todavia, não admite arbitrariedades já que, segundo Gadamer:</w:t>
      </w:r>
    </w:p>
    <w:p w14:paraId="1B4EA014" w14:textId="0473416A" w:rsidR="00041E46" w:rsidRPr="00A2508F" w:rsidRDefault="00041E46" w:rsidP="00A2508F">
      <w:pPr>
        <w:spacing w:line="240" w:lineRule="auto"/>
        <w:ind w:left="2268"/>
        <w:jc w:val="both"/>
        <w:rPr>
          <w:rFonts w:eastAsia="Calibri"/>
          <w:sz w:val="20"/>
          <w:szCs w:val="20"/>
        </w:rPr>
      </w:pPr>
      <w:r w:rsidRPr="00A62416">
        <w:rPr>
          <w:rFonts w:eastAsia="Calibri"/>
          <w:sz w:val="20"/>
          <w:szCs w:val="20"/>
        </w:rPr>
        <w:t>A compreensão só alcança sua verdadeira possibilidade quando as opiniões prévias com as quais inicia não forem arbitrárias. Por isso, faz sentido que o intérprete não se dirija diretamente aos textos a partir da opinião prévia que lhe é própria, mas examine expressamente essas opiniões quanto à sua legitimação, ou seja, quanto à sua origem e validez (GADAMER, 2014, p. 356).</w:t>
      </w:r>
    </w:p>
    <w:p w14:paraId="24B6AB92" w14:textId="5F0A5AF9" w:rsidR="00041E46" w:rsidRPr="00A2508F" w:rsidRDefault="00041E46" w:rsidP="00A2508F">
      <w:pPr>
        <w:spacing w:line="360" w:lineRule="auto"/>
        <w:ind w:firstLine="1134"/>
        <w:jc w:val="both"/>
        <w:rPr>
          <w:rFonts w:eastAsia="Calibri"/>
        </w:rPr>
      </w:pPr>
      <w:r w:rsidRPr="00A62416">
        <w:rPr>
          <w:rFonts w:eastAsia="Calibri"/>
        </w:rPr>
        <w:t>Compreender é um processo que se dá entre o passado e o presente, projetando o existir humano. Esse processo abarca em um mesmo horizonte o conceito de tradição e a posição atual do sujeito que compreende. Todo conhecimento, nesse paradigma, é datado e somente pode ser conhecido como válido dentro de um contexto histórico-espacial. O contexto histórico não nos limita, mas é nossa condição de possibilidade. Daí exsurge que os sujeitos inseridos na produção das culturas populares, indígenas e afro-brasileiras, bem assim todo intérprete da norma constitucional do artigo 215, § 1º da Constituição Federal somente extrairá sentido do mandamento de proteção se levar em conta a imersão histórica de produção das interpretações possíveis na espiral hermenêutica de Gadamer. Manfredo A. de Oliveira nos fornece um manancial prático-teórico. Vejamos:</w:t>
      </w:r>
    </w:p>
    <w:p w14:paraId="621669CA" w14:textId="5B727EC1" w:rsidR="00041E46" w:rsidRPr="00A2508F" w:rsidRDefault="00041E46" w:rsidP="00A2508F">
      <w:pPr>
        <w:spacing w:line="240" w:lineRule="auto"/>
        <w:ind w:left="2268"/>
        <w:jc w:val="both"/>
        <w:rPr>
          <w:rFonts w:eastAsia="Calibri"/>
          <w:sz w:val="20"/>
          <w:szCs w:val="20"/>
        </w:rPr>
      </w:pPr>
      <w:r w:rsidRPr="00A62416">
        <w:rPr>
          <w:rFonts w:eastAsia="Calibri"/>
          <w:sz w:val="20"/>
          <w:szCs w:val="20"/>
        </w:rPr>
        <w:t>Compreendemos e buscamos verdade a partir das expectativas de sentido que nos dirigem e provêm de nossa tradição específica. Essa tradição, porém, não está a nosso dispor: antes de estar sob nosso poder, nós é que estamos sujeitos a ela. Onde quer que compreendamos algo, nós o fazemos a partir do horizonte de uma tradição de sentido, que nos marca e precisamente torna essa compreensão possível. Ela é a instância a partir de onde toda e qualquer compreensão atual é determinada, possibilitada. Para Gadamer, ela é “mais ser do que consciência”, no sentido de que nos condiciona sem que possamos elevá-la plenamente à esfera da consciência. Sua influência sobre nós independe da consciência que dela temos: é a partir dela que se tornam possíveis nossos conhecimentos, nossas valorizações, nossas tomadas de posição no mundo (OLIVEIRA, 2015, p. 228-229).</w:t>
      </w:r>
    </w:p>
    <w:p w14:paraId="10E55529" w14:textId="77777777" w:rsidR="00041E46" w:rsidRPr="00A62416" w:rsidRDefault="00041E46" w:rsidP="00A2508F">
      <w:pPr>
        <w:spacing w:after="0" w:line="360" w:lineRule="auto"/>
        <w:ind w:firstLine="1134"/>
        <w:jc w:val="both"/>
        <w:rPr>
          <w:rFonts w:eastAsia="Calibri"/>
        </w:rPr>
      </w:pPr>
      <w:r w:rsidRPr="00A62416">
        <w:rPr>
          <w:rFonts w:eastAsia="Calibri"/>
        </w:rPr>
        <w:t xml:space="preserve">A espiral hermenêutica é um movimento circular que vai do todo ao individual e do individual ao todo. Com isso, “a antecipação de sentido que visa ao todo chega a uma compreensão explícita através do fato de que as partes que se determinam a partir do todo determinam, por sua vez, a esse todo (GADAMER, 2014, p. 385). A finalidade precípua dessa espiral é promover a ampliação do sentido da norma. O momento em que se desenrola a espiral hermenêutica de Gadamer é o instante em que o sujeito, por meio de sua </w:t>
      </w:r>
      <w:proofErr w:type="spellStart"/>
      <w:r w:rsidRPr="00A62416">
        <w:rPr>
          <w:rFonts w:eastAsia="Calibri"/>
        </w:rPr>
        <w:t>pré</w:t>
      </w:r>
      <w:proofErr w:type="spellEnd"/>
      <w:r w:rsidRPr="00A62416">
        <w:rPr>
          <w:rFonts w:eastAsia="Calibri"/>
        </w:rPr>
        <w:t xml:space="preserve">-compreensão, participa na/da construção do sentido do objeto </w:t>
      </w:r>
      <w:r w:rsidRPr="00A62416">
        <w:rPr>
          <w:rFonts w:eastAsia="Calibri"/>
        </w:rPr>
        <w:lastRenderedPageBreak/>
        <w:t>(tendo como quadro-parâmetro seus preconceitos), ao mesmo tempo em que o próprio objeto (no nosso caso a norma), modifica a compreensão do sujeito-intérprete.</w:t>
      </w:r>
    </w:p>
    <w:p w14:paraId="4900B327" w14:textId="5EC23292" w:rsidR="00041E46" w:rsidRPr="00A62416" w:rsidRDefault="00041E46" w:rsidP="00A2508F">
      <w:pPr>
        <w:spacing w:after="0" w:line="360" w:lineRule="auto"/>
        <w:ind w:firstLine="1134"/>
        <w:jc w:val="both"/>
        <w:rPr>
          <w:rFonts w:eastAsia="Calibri"/>
        </w:rPr>
      </w:pPr>
      <w:r w:rsidRPr="00A62416">
        <w:rPr>
          <w:rFonts w:eastAsia="Calibri"/>
        </w:rPr>
        <w:t>Em Gadamer, o fenômeno da compreensão é entendido como um acontecer que se efetiva mediante uma real experiência hermenêutica, abarcando uma relação especial entre o geral e o particular. Desse modo, a aplicação é oportunidade de relevância ímpar para a compreensão, porquanto permite a captação do acontecimento como realidade viva que, por se situar no horizonte presente do sujeito-intérprete, o capacita para a fusão de horizontes como aquele que é interpretado. Compreender é fruto, portanto, da fusão de horizontes pela qual o mundo do objeto interpretado é intermediado pela historicidade, através do passado alcançado pela tradição pertencida, e que colide com o horizonte presente do intérprete (GUNDIM, 2020).</w:t>
      </w:r>
    </w:p>
    <w:p w14:paraId="3AE5ADEB" w14:textId="77777777" w:rsidR="00041E46" w:rsidRPr="00A62416" w:rsidRDefault="00041E46" w:rsidP="00A2508F">
      <w:pPr>
        <w:spacing w:after="0" w:line="360" w:lineRule="auto"/>
        <w:ind w:firstLine="1134"/>
        <w:jc w:val="both"/>
        <w:rPr>
          <w:rFonts w:eastAsia="Calibri"/>
        </w:rPr>
      </w:pPr>
      <w:r w:rsidRPr="00A62416">
        <w:rPr>
          <w:rFonts w:eastAsia="Calibri"/>
        </w:rPr>
        <w:t>A abertura transmitida pela norma constitucional que obriga o Estado a promover a proteção das culturas é, pois, resultado de nossa condição hermenêutica, que, por sua vez, é concebida previamente e de forma limitada ao impulso que nos leva a conhecer.</w:t>
      </w:r>
    </w:p>
    <w:p w14:paraId="184DE68B" w14:textId="77777777" w:rsidR="00041E46" w:rsidRPr="00A62416" w:rsidRDefault="00041E46" w:rsidP="00A2508F">
      <w:pPr>
        <w:spacing w:after="0" w:line="360" w:lineRule="auto"/>
        <w:ind w:firstLine="1134"/>
        <w:jc w:val="both"/>
        <w:rPr>
          <w:rFonts w:eastAsia="Calibri"/>
        </w:rPr>
      </w:pPr>
      <w:r w:rsidRPr="00A62416">
        <w:rPr>
          <w:rFonts w:eastAsia="Calibri"/>
        </w:rPr>
        <w:t xml:space="preserve">Daí resulta uma estrutura dialógica procedimental essencial, que é a compreensão e aplicação como diálogo. </w:t>
      </w:r>
    </w:p>
    <w:p w14:paraId="21BB0AA2" w14:textId="10F5056F" w:rsidR="00041E46" w:rsidRPr="00A62416" w:rsidRDefault="00041E46" w:rsidP="00A2508F">
      <w:pPr>
        <w:spacing w:line="360" w:lineRule="auto"/>
        <w:ind w:firstLine="1134"/>
        <w:jc w:val="both"/>
        <w:rPr>
          <w:rFonts w:eastAsia="Calibri"/>
        </w:rPr>
      </w:pPr>
      <w:r w:rsidRPr="00A62416">
        <w:rPr>
          <w:rFonts w:eastAsia="Calibri"/>
        </w:rPr>
        <w:t>Rodolfo Viana Pereira, nesse ponto, destaca:</w:t>
      </w:r>
    </w:p>
    <w:p w14:paraId="7E2305B3" w14:textId="3A57B81F" w:rsidR="00041E46" w:rsidRPr="00A2508F" w:rsidRDefault="00041E46" w:rsidP="00A2508F">
      <w:pPr>
        <w:spacing w:line="240" w:lineRule="auto"/>
        <w:ind w:left="2268"/>
        <w:jc w:val="both"/>
        <w:rPr>
          <w:rFonts w:eastAsia="Calibri"/>
          <w:sz w:val="20"/>
          <w:szCs w:val="20"/>
        </w:rPr>
      </w:pPr>
      <w:r w:rsidRPr="00A62416">
        <w:rPr>
          <w:rFonts w:eastAsia="Calibri"/>
          <w:sz w:val="20"/>
          <w:szCs w:val="20"/>
        </w:rPr>
        <w:t>Saber, conhecer, nesse sentido, passa necessariamente pela clivagem efetuada pela indagação que, assim, possibilita o entendimento acerca do que é dado a conhecer. Interrogar significa abrir-se ao conhecimento, impulsionar a vontade de saber, que passa, obviamente, pelo reconhecimento de que não se sabe ou, pelo menos, de que se sabe por completo. Reconhecimento esse que confirma o que anteriormente foi desenvolvido a respeito da historicidade (temporalidade intrínseca à compreensão) e da estrutura da mediação. Interrogar é entrar nessa tensão como o objeto, marcada pela certeza que dele se conhece algo (ainda que difusamente), mas que, lado outro, também se desconhece muito. É, no fundo, reconhecer que na polaridade existente entre familiaridade e estranheza, a Hermenêutica ocupada a posição intermediária (PEREIRA, 2006, p. 46-47).</w:t>
      </w:r>
    </w:p>
    <w:p w14:paraId="209EA295" w14:textId="77777777" w:rsidR="00041E46" w:rsidRPr="00A62416" w:rsidRDefault="00041E46" w:rsidP="00A2508F">
      <w:pPr>
        <w:spacing w:after="0" w:line="360" w:lineRule="auto"/>
        <w:ind w:firstLine="1134"/>
        <w:jc w:val="both"/>
        <w:rPr>
          <w:rFonts w:eastAsia="Calibri"/>
        </w:rPr>
      </w:pPr>
      <w:r w:rsidRPr="00A62416">
        <w:rPr>
          <w:rFonts w:eastAsia="Calibri"/>
        </w:rPr>
        <w:t xml:space="preserve">Fica claro que a tradição deve vincular o sujeito que compreende a história. E, como sabido, não há construção de cultura popular, indígena e afro-brasileira desvinculada dos processos histórico-culturais. Assim, o aparato linguístico de Gadamer se revela de fundamental importância para quem se propõe a compreender, interpretar e aplicar o mandamento constitucional de proteção das culturas. Isso porque quando se fala em proteção à cultura é imperioso levar em consideração que todas as pessoas estão inseridas nesse contexto linguístico, porque é geral a garantia de que a pessoa possa exprimir, criar e difundir seus trabalhos no idioma de sua preferência e, em particular, na </w:t>
      </w:r>
      <w:r w:rsidRPr="00A62416">
        <w:rPr>
          <w:rFonts w:eastAsia="Calibri"/>
        </w:rPr>
        <w:lastRenderedPageBreak/>
        <w:t>língua materna. Com efeito, todas as pessoas têm o direito a uma educação e uma formação de qualidade que respeitem plenamente a sua identidade cultural. Devem poder participar da vida cultural de sua escolha e exercer suas práticas culturais próprias. É, portanto, a constatação da imersão do sujeito em sua historicidade e tradição. A pessoa terá como condição possibilitadora desse construir do acontecer o fenômeno da linguagem.</w:t>
      </w:r>
    </w:p>
    <w:p w14:paraId="00D00008" w14:textId="77777777" w:rsidR="00041E46" w:rsidRPr="00A62416" w:rsidRDefault="00041E46" w:rsidP="00A2508F">
      <w:pPr>
        <w:spacing w:after="0" w:line="360" w:lineRule="auto"/>
        <w:ind w:firstLine="1134"/>
        <w:jc w:val="both"/>
        <w:rPr>
          <w:rFonts w:eastAsia="Calibri"/>
        </w:rPr>
      </w:pPr>
      <w:r w:rsidRPr="00A62416">
        <w:rPr>
          <w:rFonts w:eastAsia="Calibri"/>
        </w:rPr>
        <w:t>Extrai-se, portanto, que a linguagem, com seu caráter intersubjetivo, é oriunda da interação social e fundamentada na coletividade. A atribuição de sentido de proteção à norma que determina a proteção das culturas populares, indígenas e afro-brasileiras dependerá, portanto, da intersecção da linguagem carregada pela tradição e produzida pela interação social, em especial dos grupos que produzem as respectivas culturas, porquanto já inseridos numa tradição cultural específica. Deverá ser assim, contudo, em todo o campo do direito antidiscriminatório, seguindo o roteiro da espiral hermenêutica fornecida por Gadamer. Salienta-se que a necessidade de proteção das manifestações culturais está inserida no ramo do direito antidiscriminatório e não poderia ser diferente, tendo em vista que negros, povos tradicionais e indígenas são, diuturnamente, como produtores dessas culturas, vítimas das mais graves violações de direito. Pertencem, portanto, a um grupo marginalizado e excluído do exercício pleno da cidadania; constatação de fácil percepção quando se tem em mira os exemplos de desmonte silencioso já citados nessa pesquisa.</w:t>
      </w:r>
    </w:p>
    <w:p w14:paraId="469DD479" w14:textId="74B325ED" w:rsidR="00041E46" w:rsidRPr="00A62416" w:rsidRDefault="00041E46" w:rsidP="00A2508F">
      <w:pPr>
        <w:spacing w:after="0" w:line="360" w:lineRule="auto"/>
        <w:ind w:firstLine="1134"/>
        <w:jc w:val="both"/>
        <w:rPr>
          <w:rFonts w:eastAsia="Calibri"/>
        </w:rPr>
      </w:pPr>
      <w:r w:rsidRPr="00A62416">
        <w:rPr>
          <w:rFonts w:eastAsia="Calibri"/>
        </w:rPr>
        <w:t>Vale repetir que o direito antidiscriminatório tem como objetivo principal eliminar mecanismos de exclusão responsáveis pela reiterada produção de desvantagens sistêmicas enfrentadas por grupos minoritários. A estrutura e legitimação do direito antidiscriminatório encontra-se em normas legais, formulações teóricas, nos precedentes jurisprudenciais e em políticas públicas que buscam regular e concretizar esse sistema protetivo (MOREIRA, 2020). É, portanto, uma área que tem por objetivo principal regular e operacionalizar o sistema protetivo constante no sistema jurídico brasileiro. Ele é composto por normas dirigidas à generalidade das pessoas, mas principalmente destinadas à inclusão de grupos vulneráveis. É, assim, um aparato jurídico que visa proteger indivíduos pertencentes a segmentos sociais que enfrentam uma história social de discriminação.</w:t>
      </w:r>
    </w:p>
    <w:p w14:paraId="2FED0E2F" w14:textId="77777777" w:rsidR="00041E46" w:rsidRPr="00A62416" w:rsidRDefault="00041E46" w:rsidP="00A2508F">
      <w:pPr>
        <w:spacing w:after="0" w:line="360" w:lineRule="auto"/>
        <w:ind w:firstLine="1134"/>
        <w:jc w:val="both"/>
        <w:rPr>
          <w:rFonts w:eastAsia="Calibri"/>
        </w:rPr>
      </w:pPr>
      <w:r w:rsidRPr="00A62416">
        <w:rPr>
          <w:rFonts w:eastAsia="Calibri"/>
        </w:rPr>
        <w:t xml:space="preserve">É certo que a necessidade de normas protetivas de discriminação encontra fundamento na história, porquanto trata-se de grupos subalternos e situados historicamente à margem do sistema de justiça. Nesse ponto, tem-se que a hermenêutica </w:t>
      </w:r>
      <w:r w:rsidRPr="00A62416">
        <w:rPr>
          <w:rFonts w:eastAsia="Calibri"/>
        </w:rPr>
        <w:lastRenderedPageBreak/>
        <w:t>de Gadamer é essencial, pois é conscientemente uma “hermenêutica da finitude”, o que significa para ele a demonstração de que nossa consciência é determinada pela história (OLIVEIRA, 2015).</w:t>
      </w:r>
    </w:p>
    <w:p w14:paraId="7B7E3743" w14:textId="394F0D61" w:rsidR="00041E46" w:rsidRPr="00A2508F" w:rsidRDefault="00041E46" w:rsidP="00A2508F">
      <w:pPr>
        <w:spacing w:line="360" w:lineRule="auto"/>
        <w:ind w:firstLine="1134"/>
        <w:jc w:val="both"/>
        <w:rPr>
          <w:rFonts w:eastAsia="Calibri"/>
        </w:rPr>
      </w:pPr>
      <w:r w:rsidRPr="00A62416">
        <w:rPr>
          <w:rFonts w:eastAsia="Calibri"/>
        </w:rPr>
        <w:t>Nessa quadra, Manfredo A. de Oliveira consigna:</w:t>
      </w:r>
    </w:p>
    <w:p w14:paraId="0C79AE32" w14:textId="4C829EFC" w:rsidR="00041E46" w:rsidRPr="00A2508F" w:rsidRDefault="00041E46" w:rsidP="00A2508F">
      <w:pPr>
        <w:spacing w:line="240" w:lineRule="auto"/>
        <w:ind w:left="2268"/>
        <w:jc w:val="both"/>
        <w:rPr>
          <w:rFonts w:eastAsia="Calibri"/>
          <w:sz w:val="20"/>
          <w:szCs w:val="20"/>
        </w:rPr>
      </w:pPr>
      <w:r w:rsidRPr="00A62416">
        <w:rPr>
          <w:rFonts w:eastAsia="Calibri"/>
          <w:sz w:val="20"/>
          <w:szCs w:val="20"/>
        </w:rPr>
        <w:t>A historicidade fundamental do eis-aí-ser implica que seu ser é uma mediação entre o passado e o presente na direção do futuro que se abre. Ora, isso significa dizer que nossa historicidade não é uma limitação, mas antes “condição de possibilidade” de nossa compreensão: compreendemos a partir de nossos pré-conceitos que se gestaram na história e são agora “condições transcendentais” de nossa compreensão (OLIVEIRA, 2015, p. 227).</w:t>
      </w:r>
    </w:p>
    <w:p w14:paraId="331C5A3B" w14:textId="77777777" w:rsidR="00041E46" w:rsidRPr="00A62416" w:rsidRDefault="00041E46" w:rsidP="00A2508F">
      <w:pPr>
        <w:spacing w:after="0" w:line="360" w:lineRule="auto"/>
        <w:ind w:firstLine="1134"/>
        <w:jc w:val="both"/>
        <w:rPr>
          <w:rFonts w:eastAsia="Calibri"/>
        </w:rPr>
      </w:pPr>
      <w:r w:rsidRPr="00A62416">
        <w:rPr>
          <w:rFonts w:eastAsia="Calibri"/>
        </w:rPr>
        <w:t>Ainda, a construção de sentido para as coisas (normas, eventos, documentos, políticas públicas) não é empreendimento de uma subjetividade individual, isolada e cindida da história, mas só é explicável a partir de nossa sensação de pertencimento à tradição. O sujeito que interpreta não pode superar sua própria facticidade, daí sua subordinação absoluta a costumes e tradições que condicionam sua experiência no mundo, inclusive, nesse campo, à sua própria história de marginalização, ignorando qualquer tentativa de “desterritorialização”.</w:t>
      </w:r>
    </w:p>
    <w:p w14:paraId="61BE4766" w14:textId="36064AF3" w:rsidR="00041E46" w:rsidRPr="00A62416" w:rsidRDefault="00041E46" w:rsidP="00A2508F">
      <w:pPr>
        <w:spacing w:after="0" w:line="360" w:lineRule="auto"/>
        <w:ind w:firstLine="1134"/>
        <w:jc w:val="both"/>
        <w:rPr>
          <w:rFonts w:eastAsia="Calibri"/>
        </w:rPr>
      </w:pPr>
      <w:r w:rsidRPr="00A62416">
        <w:rPr>
          <w:rFonts w:eastAsia="Calibri"/>
        </w:rPr>
        <w:t>Nessa senda, as lições de Gadamer podem contribuir para a aplicação do direito antidiscriminatório no Brasil, principalmente para concretude da proteção das culturas populares, indígenas e afro-brasileiras. O conceito de tradição, trabalhado por Gadamer, é de vital importância para a exata compreensão da referida norma protetiva. Registra-se que toda compreensão é iniciada no horizonte de uma tradição de sentido, que nos marca e torna essa compreensão possível (OLIVEIRA, 2015).</w:t>
      </w:r>
    </w:p>
    <w:p w14:paraId="5BC5F636" w14:textId="2E1066C8" w:rsidR="00041E46" w:rsidRPr="00A62416" w:rsidRDefault="00041E46" w:rsidP="00A2508F">
      <w:pPr>
        <w:spacing w:after="0" w:line="360" w:lineRule="auto"/>
        <w:ind w:firstLine="1134"/>
        <w:jc w:val="both"/>
        <w:rPr>
          <w:rFonts w:eastAsia="Calibri"/>
        </w:rPr>
      </w:pPr>
      <w:r w:rsidRPr="00A62416">
        <w:rPr>
          <w:rFonts w:eastAsia="Calibri"/>
        </w:rPr>
        <w:t xml:space="preserve">Percebe-se que Gadamer buscou promover a superação da filosofia da subjetividade, tematizando o contexto da tradição. Segundo Manfredo A. de Oliveira o que importa, acima de tudo, é vincular o sujeito que compreende à história, explicitar a precedência e a influência da história em todo conhecimento humano, em última análise, no ser do sujeito (OLIVEIRA, 2015). Cuida-se de explicitar a historicidade da compreensão, a forma inicial de ser do “ser-no-mundo”. Busca-se narrar a história da construção e resistência das culturas populares, indígenas e afro-brasileiras, confrontando com o cenário de desmonte atual. Assim, o sujeito-intérprete, imerso no contexto linguístico de desenvolver das manifestações culturais, embasado na tradição </w:t>
      </w:r>
      <w:proofErr w:type="spellStart"/>
      <w:r w:rsidRPr="00A62416">
        <w:rPr>
          <w:rFonts w:eastAsia="Calibri"/>
        </w:rPr>
        <w:t>gadameriana</w:t>
      </w:r>
      <w:proofErr w:type="spellEnd"/>
      <w:r w:rsidRPr="00A62416">
        <w:rPr>
          <w:rFonts w:eastAsia="Calibri"/>
        </w:rPr>
        <w:t>, será o nosso “vaga-lume” de resistência, pois ator principal na compreensão da norma posta. Este sujeito fará descortinar a fusão de horizontes para a escorreita proteção das culturas, fazendo com o que os atores sociais e jurídicos desonerem de sua obrigação constitucional.</w:t>
      </w:r>
    </w:p>
    <w:p w14:paraId="4C41508A" w14:textId="500AD000" w:rsidR="00041E46" w:rsidRPr="00A62416" w:rsidRDefault="00041E46" w:rsidP="00A2508F">
      <w:pPr>
        <w:spacing w:line="360" w:lineRule="auto"/>
        <w:ind w:firstLine="1134"/>
        <w:jc w:val="both"/>
        <w:rPr>
          <w:rFonts w:eastAsia="Calibri"/>
        </w:rPr>
      </w:pPr>
      <w:r w:rsidRPr="00A62416">
        <w:rPr>
          <w:rFonts w:eastAsia="Calibri"/>
        </w:rPr>
        <w:lastRenderedPageBreak/>
        <w:t xml:space="preserve">Pelo exposto, é possível concluir que a hermenêutica filosófica de Hans-Georg Gadamer pode contribuir para a escorreita compreensão da norma posta no artigo 215, § 1º da Constituição Federal. O aclaramento do conceito de tradição, herança de nosso passado, é primordial ao intérprete, bem assim, no caso de culturas populares, indígenas e afro-brasileiras, o conceito de </w:t>
      </w:r>
      <w:proofErr w:type="spellStart"/>
      <w:r w:rsidRPr="00A62416">
        <w:rPr>
          <w:rFonts w:eastAsia="Calibri"/>
        </w:rPr>
        <w:t>pré</w:t>
      </w:r>
      <w:proofErr w:type="spellEnd"/>
      <w:r w:rsidRPr="00A62416">
        <w:rPr>
          <w:rFonts w:eastAsia="Calibri"/>
        </w:rPr>
        <w:t xml:space="preserve">-compreensão e fusão de horizontes. Cuida-se de norma impregnada de complexidades linguísticas e de alcance ilimitado, sendo passível de intermediação apenas no campo da linguagem e da intersubjetividade. Proteger as manifestações culturais brasileiras é encará-las como produto de mediação histórico-hermenêutica, limitada pela tradição e historicidade. Em termos de proteção às manifestações culturais é importante que tenhamos firme que se o homem pode alterar sua história, ele não pode construí-la inteiramente como se a inventasse a partir do “marco-zero”. O peso da tradição sempre o acompanha, independentemente do valor que venhamos a lhe atribuir. O único modo de compreender a norma do artigo 215 da Constituição Federal é compreender, simultaneamente, que o único modo de o ser humano </w:t>
      </w:r>
      <w:proofErr w:type="gramStart"/>
      <w:r w:rsidRPr="00A62416">
        <w:rPr>
          <w:rFonts w:eastAsia="Calibri"/>
        </w:rPr>
        <w:t>fazer-se</w:t>
      </w:r>
      <w:proofErr w:type="gramEnd"/>
      <w:r w:rsidRPr="00A62416">
        <w:rPr>
          <w:rFonts w:eastAsia="Calibri"/>
        </w:rPr>
        <w:t xml:space="preserve"> contemporâneo de si mesmo é conviver com a continuidade histórica, integrando o passado na existência e na cultura. O sujeito-intérprete e também aplicador do direito não constitui a humanidade apenas operando, com base em métodos, sobre o presente. É que, por ser finito, isto é, temporal, há uma história a ser vivida e compartilhada por intermédio daquilo que a tradição nos repassa. Cuida-se de algo que nos solicita profundamente e que, portanto, não é para ser tão somente aceito, mas reconstituído pelo trabalho hermenêutico. Com a utilização desse aparato teórico se propiciará uma conduta emancipatória, pautada na filosofia da linguagem como experiência de mundo.</w:t>
      </w:r>
    </w:p>
    <w:p w14:paraId="0E388647" w14:textId="0087A628" w:rsidR="00041E46" w:rsidRPr="00A2508F" w:rsidRDefault="00041E46" w:rsidP="00A2508F">
      <w:pPr>
        <w:pStyle w:val="Ttulo2"/>
        <w:spacing w:after="240"/>
        <w:rPr>
          <w:rFonts w:ascii="Times New Roman" w:hAnsi="Times New Roman" w:cs="Times New Roman"/>
        </w:rPr>
      </w:pPr>
      <w:bookmarkStart w:id="1" w:name="_Toc81479863"/>
      <w:r w:rsidRPr="00A62416">
        <w:rPr>
          <w:rFonts w:ascii="Times New Roman" w:hAnsi="Times New Roman" w:cs="Times New Roman"/>
        </w:rPr>
        <w:t>REFERÊNCIAS</w:t>
      </w:r>
      <w:bookmarkEnd w:id="1"/>
    </w:p>
    <w:p w14:paraId="29840D4A" w14:textId="77777777" w:rsidR="00041E46" w:rsidRPr="00A62416" w:rsidRDefault="00041E46" w:rsidP="00041E46">
      <w:pPr>
        <w:spacing w:after="0" w:line="240" w:lineRule="auto"/>
        <w:rPr>
          <w:rFonts w:eastAsia="Calibri"/>
        </w:rPr>
      </w:pPr>
      <w:r w:rsidRPr="00A70A45">
        <w:rPr>
          <w:rFonts w:eastAsia="Calibri"/>
        </w:rPr>
        <w:t xml:space="preserve">DIDI-HUBERMAN, Georges. </w:t>
      </w:r>
      <w:r w:rsidRPr="00A62416">
        <w:rPr>
          <w:rFonts w:eastAsia="Calibri"/>
          <w:b/>
          <w:bCs/>
        </w:rPr>
        <w:t>Sobrevivência dos vaga-lumes</w:t>
      </w:r>
      <w:r w:rsidRPr="00A62416">
        <w:rPr>
          <w:rFonts w:eastAsia="Calibri"/>
        </w:rPr>
        <w:t xml:space="preserve">. Tradução de Vera Casa Nova e Márcia </w:t>
      </w:r>
      <w:proofErr w:type="spellStart"/>
      <w:r w:rsidRPr="00A62416">
        <w:rPr>
          <w:rFonts w:eastAsia="Calibri"/>
        </w:rPr>
        <w:t>Arbex</w:t>
      </w:r>
      <w:proofErr w:type="spellEnd"/>
      <w:r w:rsidRPr="00A62416">
        <w:rPr>
          <w:rFonts w:eastAsia="Calibri"/>
        </w:rPr>
        <w:t>. Revisão de Consuelo Salomé. Belo Horizonte: Editora UFMG, 2011.</w:t>
      </w:r>
    </w:p>
    <w:p w14:paraId="49FE8BE6" w14:textId="77777777" w:rsidR="00041E46" w:rsidRPr="00A62416" w:rsidRDefault="00041E46" w:rsidP="00041E46">
      <w:pPr>
        <w:spacing w:after="0" w:line="240" w:lineRule="auto"/>
        <w:rPr>
          <w:rFonts w:eastAsia="Calibri"/>
        </w:rPr>
      </w:pPr>
    </w:p>
    <w:p w14:paraId="4549E35A" w14:textId="77777777" w:rsidR="00041E46" w:rsidRPr="00A62416" w:rsidRDefault="00041E46" w:rsidP="00041E46">
      <w:pPr>
        <w:spacing w:after="0" w:line="240" w:lineRule="auto"/>
        <w:rPr>
          <w:rFonts w:eastAsia="Calibri"/>
        </w:rPr>
      </w:pPr>
      <w:r w:rsidRPr="00A62416">
        <w:rPr>
          <w:rFonts w:eastAsia="Calibri"/>
        </w:rPr>
        <w:t xml:space="preserve">GADAMER, Hans-Georg. </w:t>
      </w:r>
      <w:r w:rsidRPr="00A62416">
        <w:rPr>
          <w:rFonts w:eastAsia="Calibri"/>
          <w:b/>
          <w:bCs/>
        </w:rPr>
        <w:t>Verdade e Método I:</w:t>
      </w:r>
      <w:r w:rsidRPr="00A62416">
        <w:rPr>
          <w:rFonts w:eastAsia="Calibri"/>
        </w:rPr>
        <w:t xml:space="preserve"> Traços fundamentais de uma hermenêutica filosófica. Tradução de </w:t>
      </w:r>
      <w:proofErr w:type="spellStart"/>
      <w:r w:rsidRPr="00A62416">
        <w:rPr>
          <w:rFonts w:eastAsia="Calibri"/>
        </w:rPr>
        <w:t>Enio</w:t>
      </w:r>
      <w:proofErr w:type="spellEnd"/>
      <w:r w:rsidRPr="00A62416">
        <w:rPr>
          <w:rFonts w:eastAsia="Calibri"/>
        </w:rPr>
        <w:t xml:space="preserve"> Paulo </w:t>
      </w:r>
      <w:proofErr w:type="spellStart"/>
      <w:r w:rsidRPr="00A62416">
        <w:rPr>
          <w:rFonts w:eastAsia="Calibri"/>
        </w:rPr>
        <w:t>Giachini</w:t>
      </w:r>
      <w:proofErr w:type="spellEnd"/>
      <w:r w:rsidRPr="00A62416">
        <w:rPr>
          <w:rFonts w:eastAsia="Calibri"/>
        </w:rPr>
        <w:t>. Petrópolis, Vozes, 2015.</w:t>
      </w:r>
    </w:p>
    <w:p w14:paraId="3EA3C3A5" w14:textId="77777777" w:rsidR="00041E46" w:rsidRPr="00A62416" w:rsidRDefault="00041E46" w:rsidP="00041E46">
      <w:pPr>
        <w:spacing w:after="0" w:line="240" w:lineRule="auto"/>
        <w:rPr>
          <w:rFonts w:eastAsia="Calibri"/>
        </w:rPr>
      </w:pPr>
    </w:p>
    <w:p w14:paraId="2884EC83" w14:textId="77777777" w:rsidR="00041E46" w:rsidRPr="00A62416" w:rsidRDefault="00041E46" w:rsidP="00041E46">
      <w:pPr>
        <w:spacing w:after="0" w:line="240" w:lineRule="auto"/>
        <w:rPr>
          <w:rFonts w:eastAsia="Calibri"/>
        </w:rPr>
      </w:pPr>
      <w:r w:rsidRPr="00A62416">
        <w:rPr>
          <w:rFonts w:eastAsia="Calibri"/>
        </w:rPr>
        <w:t xml:space="preserve">GRONDIN, Jean. </w:t>
      </w:r>
      <w:r w:rsidRPr="00A62416">
        <w:rPr>
          <w:rFonts w:eastAsia="Calibri"/>
          <w:b/>
          <w:bCs/>
        </w:rPr>
        <w:t>O pensamento de Gadamer</w:t>
      </w:r>
      <w:r w:rsidRPr="00A62416">
        <w:rPr>
          <w:rFonts w:eastAsia="Calibri"/>
        </w:rPr>
        <w:t xml:space="preserve">. Tradução de </w:t>
      </w:r>
      <w:proofErr w:type="spellStart"/>
      <w:r w:rsidRPr="00A62416">
        <w:rPr>
          <w:rFonts w:eastAsia="Calibri"/>
        </w:rPr>
        <w:t>Enio</w:t>
      </w:r>
      <w:proofErr w:type="spellEnd"/>
      <w:r w:rsidRPr="00A62416">
        <w:rPr>
          <w:rFonts w:eastAsia="Calibri"/>
        </w:rPr>
        <w:t xml:space="preserve"> Paulo </w:t>
      </w:r>
      <w:proofErr w:type="spellStart"/>
      <w:r w:rsidRPr="00A62416">
        <w:rPr>
          <w:rFonts w:eastAsia="Calibri"/>
        </w:rPr>
        <w:t>Giachini</w:t>
      </w:r>
      <w:proofErr w:type="spellEnd"/>
      <w:r w:rsidRPr="00A62416">
        <w:rPr>
          <w:rFonts w:eastAsia="Calibri"/>
        </w:rPr>
        <w:t>. São Paulo: Paulus, 2012.</w:t>
      </w:r>
    </w:p>
    <w:p w14:paraId="0E722DD7" w14:textId="77777777" w:rsidR="00041E46" w:rsidRPr="00A62416" w:rsidRDefault="00041E46" w:rsidP="00041E46">
      <w:pPr>
        <w:spacing w:after="0" w:line="240" w:lineRule="auto"/>
        <w:rPr>
          <w:rFonts w:eastAsia="Calibri"/>
        </w:rPr>
      </w:pPr>
    </w:p>
    <w:p w14:paraId="4D555930" w14:textId="77777777" w:rsidR="00041E46" w:rsidRPr="00A62416" w:rsidRDefault="00041E46" w:rsidP="00041E46">
      <w:pPr>
        <w:spacing w:after="0" w:line="240" w:lineRule="auto"/>
        <w:rPr>
          <w:rFonts w:eastAsia="Calibri"/>
        </w:rPr>
      </w:pPr>
      <w:r w:rsidRPr="00A62416">
        <w:rPr>
          <w:rFonts w:eastAsia="Calibri"/>
        </w:rPr>
        <w:t xml:space="preserve">GUNDIM, Wagner Wilson </w:t>
      </w:r>
      <w:proofErr w:type="spellStart"/>
      <w:r w:rsidRPr="00A62416">
        <w:rPr>
          <w:rFonts w:eastAsia="Calibri"/>
        </w:rPr>
        <w:t>Deiró</w:t>
      </w:r>
      <w:proofErr w:type="spellEnd"/>
      <w:r w:rsidRPr="00A62416">
        <w:rPr>
          <w:rFonts w:eastAsia="Calibri"/>
        </w:rPr>
        <w:t xml:space="preserve">. </w:t>
      </w:r>
      <w:r w:rsidRPr="00A62416">
        <w:rPr>
          <w:rFonts w:eastAsia="Calibri"/>
          <w:b/>
          <w:bCs/>
        </w:rPr>
        <w:t>Gadamer e Supremo Tribunal Federal:</w:t>
      </w:r>
      <w:r w:rsidRPr="00A62416">
        <w:rPr>
          <w:rFonts w:eastAsia="Calibri"/>
        </w:rPr>
        <w:t xml:space="preserve"> uma proposta de hermenêutica filosófica dialógica. São Paulo: Editora Liber Ars, 2020.</w:t>
      </w:r>
    </w:p>
    <w:p w14:paraId="5E4B563C" w14:textId="77777777" w:rsidR="00041E46" w:rsidRPr="00A62416" w:rsidRDefault="00041E46" w:rsidP="00041E46">
      <w:pPr>
        <w:spacing w:after="0" w:line="240" w:lineRule="auto"/>
        <w:rPr>
          <w:rFonts w:eastAsia="Calibri"/>
        </w:rPr>
      </w:pPr>
    </w:p>
    <w:p w14:paraId="0B3826CC" w14:textId="77777777" w:rsidR="00041E46" w:rsidRPr="00A62416" w:rsidRDefault="00041E46" w:rsidP="00041E46">
      <w:pPr>
        <w:spacing w:after="0" w:line="240" w:lineRule="auto"/>
        <w:rPr>
          <w:rFonts w:eastAsia="Calibri"/>
        </w:rPr>
      </w:pPr>
      <w:r w:rsidRPr="00A62416">
        <w:rPr>
          <w:rFonts w:eastAsia="Calibri"/>
        </w:rPr>
        <w:lastRenderedPageBreak/>
        <w:t xml:space="preserve">MOREIRA, Adilson José. </w:t>
      </w:r>
      <w:r w:rsidRPr="00A62416">
        <w:rPr>
          <w:rFonts w:eastAsia="Calibri"/>
          <w:b/>
          <w:bCs/>
        </w:rPr>
        <w:t>Tratado de Direito Antidiscriminatório</w:t>
      </w:r>
      <w:r w:rsidRPr="00A62416">
        <w:rPr>
          <w:rFonts w:eastAsia="Calibri"/>
        </w:rPr>
        <w:t xml:space="preserve"> São Paulo: Editora Contracorrente, 2020.</w:t>
      </w:r>
    </w:p>
    <w:p w14:paraId="04352246" w14:textId="77777777" w:rsidR="00041E46" w:rsidRPr="00A62416" w:rsidRDefault="00041E46" w:rsidP="00041E46">
      <w:pPr>
        <w:spacing w:after="0" w:line="240" w:lineRule="auto"/>
        <w:rPr>
          <w:rFonts w:eastAsia="Calibri"/>
        </w:rPr>
      </w:pPr>
    </w:p>
    <w:p w14:paraId="057099D2" w14:textId="77777777" w:rsidR="00041E46" w:rsidRPr="00A62416" w:rsidRDefault="00041E46" w:rsidP="00041E46">
      <w:pPr>
        <w:spacing w:after="0" w:line="240" w:lineRule="auto"/>
        <w:rPr>
          <w:rFonts w:eastAsia="Calibri"/>
        </w:rPr>
      </w:pPr>
      <w:r w:rsidRPr="00A62416">
        <w:rPr>
          <w:rFonts w:eastAsia="Calibri"/>
        </w:rPr>
        <w:t>LAW, Chris. Compreender Gadamer. Tradução de Hélio Magri Filho. 3. ed. Petrópolis, RJ: Vozes, 2011.</w:t>
      </w:r>
    </w:p>
    <w:p w14:paraId="4BC9BE38" w14:textId="77777777" w:rsidR="00041E46" w:rsidRPr="00A62416" w:rsidRDefault="00041E46" w:rsidP="00041E46">
      <w:pPr>
        <w:spacing w:after="0" w:line="240" w:lineRule="auto"/>
        <w:rPr>
          <w:rFonts w:eastAsia="Calibri"/>
        </w:rPr>
      </w:pPr>
    </w:p>
    <w:p w14:paraId="15933546" w14:textId="77777777" w:rsidR="00041E46" w:rsidRPr="00A62416" w:rsidRDefault="00041E46" w:rsidP="00041E46">
      <w:pPr>
        <w:spacing w:after="0" w:line="240" w:lineRule="auto"/>
        <w:rPr>
          <w:rFonts w:eastAsia="Calibri"/>
        </w:rPr>
      </w:pPr>
      <w:r w:rsidRPr="00A62416">
        <w:rPr>
          <w:rFonts w:eastAsia="Calibri"/>
        </w:rPr>
        <w:t xml:space="preserve">OLIVEIRA, Manfredo Araújo. </w:t>
      </w:r>
      <w:r w:rsidRPr="00A62416">
        <w:rPr>
          <w:rFonts w:eastAsia="Calibri"/>
          <w:b/>
          <w:bCs/>
        </w:rPr>
        <w:t>Reviravolta linguístico-pragmática filosofia contemporânea.</w:t>
      </w:r>
      <w:r w:rsidRPr="00A62416">
        <w:rPr>
          <w:rFonts w:eastAsia="Calibri"/>
        </w:rPr>
        <w:t xml:space="preserve"> 4. ed. São Paulo: Loyola, 2015.</w:t>
      </w:r>
    </w:p>
    <w:p w14:paraId="4B6F8A7B" w14:textId="77777777" w:rsidR="00041E46" w:rsidRPr="00A62416" w:rsidRDefault="00041E46" w:rsidP="00041E46">
      <w:pPr>
        <w:spacing w:after="0" w:line="240" w:lineRule="auto"/>
        <w:rPr>
          <w:rFonts w:eastAsia="Calibri"/>
        </w:rPr>
      </w:pPr>
    </w:p>
    <w:p w14:paraId="1120788A" w14:textId="77777777" w:rsidR="00041E46" w:rsidRPr="00A62416" w:rsidRDefault="00041E46" w:rsidP="00041E46">
      <w:pPr>
        <w:spacing w:after="0" w:line="240" w:lineRule="auto"/>
        <w:rPr>
          <w:rFonts w:eastAsia="Calibri"/>
        </w:rPr>
      </w:pPr>
      <w:r w:rsidRPr="00A62416">
        <w:rPr>
          <w:rFonts w:eastAsia="Calibri"/>
        </w:rPr>
        <w:t xml:space="preserve">PEREIRA, Rodolfo Viana. </w:t>
      </w:r>
      <w:r w:rsidRPr="00A62416">
        <w:rPr>
          <w:rFonts w:eastAsia="Calibri"/>
          <w:b/>
          <w:bCs/>
        </w:rPr>
        <w:t>Hermenêutica filosófica e constitucional.</w:t>
      </w:r>
      <w:r w:rsidRPr="00A62416">
        <w:rPr>
          <w:rFonts w:eastAsia="Calibri"/>
        </w:rPr>
        <w:t xml:space="preserve"> 2. ed. Belo Horizonte: Del Rey, 2006.</w:t>
      </w:r>
    </w:p>
    <w:p w14:paraId="25BCF02B" w14:textId="77777777" w:rsidR="00041E46" w:rsidRPr="00A62416" w:rsidRDefault="00041E46" w:rsidP="00041E46">
      <w:pPr>
        <w:spacing w:after="0" w:line="240" w:lineRule="auto"/>
        <w:rPr>
          <w:rFonts w:eastAsia="Calibri"/>
        </w:rPr>
      </w:pPr>
    </w:p>
    <w:p w14:paraId="0931D358" w14:textId="4EA81A97" w:rsidR="008B367F" w:rsidRDefault="00041E46" w:rsidP="00041E46">
      <w:pPr>
        <w:spacing w:after="0" w:line="240" w:lineRule="auto"/>
        <w:rPr>
          <w:rFonts w:eastAsia="Calibri"/>
        </w:rPr>
      </w:pPr>
      <w:r w:rsidRPr="00A62416">
        <w:rPr>
          <w:rFonts w:eastAsia="Calibri"/>
        </w:rPr>
        <w:t xml:space="preserve">STRECK, </w:t>
      </w:r>
      <w:proofErr w:type="spellStart"/>
      <w:r w:rsidRPr="00A62416">
        <w:rPr>
          <w:rFonts w:eastAsia="Calibri"/>
        </w:rPr>
        <w:t>Lênio</w:t>
      </w:r>
      <w:proofErr w:type="spellEnd"/>
      <w:r w:rsidRPr="00A62416">
        <w:rPr>
          <w:rFonts w:eastAsia="Calibri"/>
        </w:rPr>
        <w:t xml:space="preserve"> Luiz. </w:t>
      </w:r>
      <w:r w:rsidRPr="00A62416">
        <w:rPr>
          <w:rFonts w:eastAsia="Calibri"/>
          <w:b/>
          <w:bCs/>
        </w:rPr>
        <w:t>Hermenêutica jurídica e(m) crise:</w:t>
      </w:r>
      <w:r w:rsidRPr="00A62416">
        <w:rPr>
          <w:rFonts w:eastAsia="Calibri"/>
        </w:rPr>
        <w:t xml:space="preserve"> uma exploração hermenêutica da construção do direito. 11. ed. rev. atual. e </w:t>
      </w:r>
      <w:proofErr w:type="spellStart"/>
      <w:r w:rsidRPr="00A62416">
        <w:rPr>
          <w:rFonts w:eastAsia="Calibri"/>
        </w:rPr>
        <w:t>ampl</w:t>
      </w:r>
      <w:proofErr w:type="spellEnd"/>
      <w:r w:rsidRPr="00A62416">
        <w:rPr>
          <w:rFonts w:eastAsia="Calibri"/>
        </w:rPr>
        <w:t>. Porto Alegre: Livraria do Advogado, 2014.</w:t>
      </w:r>
    </w:p>
    <w:p w14:paraId="23C04062" w14:textId="77777777" w:rsidR="00BF6D4F" w:rsidRDefault="00BF6D4F" w:rsidP="00041E46">
      <w:pPr>
        <w:spacing w:after="0" w:line="240" w:lineRule="auto"/>
        <w:rPr>
          <w:rFonts w:eastAsia="Calibri"/>
        </w:rPr>
      </w:pPr>
    </w:p>
    <w:p w14:paraId="4A1737B3" w14:textId="17CDFEA5" w:rsidR="00BF6D4F" w:rsidRDefault="00BF6D4F" w:rsidP="00041E46">
      <w:pPr>
        <w:spacing w:after="0" w:line="240" w:lineRule="auto"/>
        <w:rPr>
          <w:rFonts w:eastAsia="Calibri"/>
        </w:rPr>
      </w:pPr>
    </w:p>
    <w:p w14:paraId="4EB57B11" w14:textId="4C98EEFB" w:rsidR="00BF6D4F" w:rsidRDefault="00BF6D4F" w:rsidP="00BF6D4F">
      <w:pPr>
        <w:spacing w:after="0" w:line="360" w:lineRule="auto"/>
        <w:rPr>
          <w:rFonts w:eastAsia="Calibri"/>
        </w:rPr>
      </w:pPr>
      <w:r>
        <w:rPr>
          <w:rFonts w:eastAsia="Calibri"/>
        </w:rPr>
        <w:t>Submetido em 24.01.2023</w:t>
      </w:r>
    </w:p>
    <w:p w14:paraId="16FB5AAF" w14:textId="78E35F52" w:rsidR="00BF6D4F" w:rsidRPr="00A62416" w:rsidRDefault="00BF6D4F" w:rsidP="00BF6D4F">
      <w:pPr>
        <w:spacing w:after="0" w:line="360" w:lineRule="auto"/>
        <w:rPr>
          <w:rFonts w:eastAsia="Calibri"/>
        </w:rPr>
      </w:pPr>
      <w:r>
        <w:rPr>
          <w:rFonts w:eastAsia="Calibri"/>
        </w:rPr>
        <w:t>Aceito em</w:t>
      </w:r>
      <w:r w:rsidR="0083607A">
        <w:rPr>
          <w:rFonts w:eastAsia="Calibri"/>
        </w:rPr>
        <w:t xml:space="preserve"> 10.03.2024</w:t>
      </w:r>
    </w:p>
    <w:sectPr w:rsidR="00BF6D4F" w:rsidRPr="00A62416" w:rsidSect="00340ADC">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9DDE2" w14:textId="77777777" w:rsidR="003B341A" w:rsidRDefault="003B341A" w:rsidP="00041E46">
      <w:pPr>
        <w:spacing w:after="0" w:line="240" w:lineRule="auto"/>
      </w:pPr>
      <w:r>
        <w:separator/>
      </w:r>
    </w:p>
  </w:endnote>
  <w:endnote w:type="continuationSeparator" w:id="0">
    <w:p w14:paraId="5F46A49E" w14:textId="77777777" w:rsidR="003B341A" w:rsidRDefault="003B341A" w:rsidP="00041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EC5F" w14:textId="77777777" w:rsidR="00880B38" w:rsidRDefault="00880B3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29713" w14:textId="51E8AE79" w:rsidR="00A62416" w:rsidRPr="00165D31" w:rsidRDefault="00165D31" w:rsidP="00165D31">
    <w:pPr>
      <w:pStyle w:val="Rodap"/>
      <w:pBdr>
        <w:top w:val="thinThickSmallGap" w:sz="24" w:space="0" w:color="622423"/>
      </w:pBdr>
      <w:tabs>
        <w:tab w:val="clear" w:pos="4252"/>
      </w:tabs>
      <w:rPr>
        <w:color w:val="000000"/>
        <w:sz w:val="22"/>
      </w:rPr>
    </w:pPr>
    <w:r w:rsidRPr="000C3DE5">
      <w:rPr>
        <w:color w:val="000000"/>
        <w:sz w:val="22"/>
      </w:rPr>
      <w:t xml:space="preserve">Revista Reflexão e Crítica do Direito, v. 11, n. </w:t>
    </w:r>
    <w:r>
      <w:rPr>
        <w:color w:val="000000"/>
        <w:sz w:val="22"/>
      </w:rPr>
      <w:t>2</w:t>
    </w:r>
    <w:r w:rsidRPr="000C3DE5">
      <w:rPr>
        <w:color w:val="000000"/>
        <w:sz w:val="22"/>
      </w:rPr>
      <w:t xml:space="preserve">, p. </w:t>
    </w:r>
    <w:r w:rsidR="00A2508F">
      <w:rPr>
        <w:color w:val="000000"/>
        <w:sz w:val="22"/>
      </w:rPr>
      <w:t>16</w:t>
    </w:r>
    <w:r w:rsidRPr="000C3DE5">
      <w:rPr>
        <w:color w:val="000000"/>
        <w:sz w:val="22"/>
      </w:rPr>
      <w:t>-</w:t>
    </w:r>
    <w:r w:rsidR="00A2508F">
      <w:rPr>
        <w:color w:val="000000"/>
        <w:sz w:val="22"/>
      </w:rPr>
      <w:t>28</w:t>
    </w:r>
    <w:r w:rsidRPr="000C3DE5">
      <w:rPr>
        <w:color w:val="000000"/>
        <w:sz w:val="22"/>
      </w:rPr>
      <w:t>,</w:t>
    </w:r>
    <w:r w:rsidR="00880B38">
      <w:rPr>
        <w:color w:val="000000"/>
        <w:sz w:val="22"/>
      </w:rPr>
      <w:t xml:space="preserve"> </w:t>
    </w:r>
    <w:r w:rsidR="00880B38">
      <w:rPr>
        <w:color w:val="000000"/>
        <w:sz w:val="22"/>
      </w:rPr>
      <w:t>jul</w:t>
    </w:r>
    <w:r w:rsidRPr="000C3DE5">
      <w:rPr>
        <w:color w:val="000000"/>
        <w:sz w:val="22"/>
      </w:rPr>
      <w:t>./</w:t>
    </w:r>
    <w:r>
      <w:rPr>
        <w:color w:val="000000"/>
        <w:sz w:val="22"/>
      </w:rPr>
      <w:t>dez</w:t>
    </w:r>
    <w:r w:rsidRPr="000C3DE5">
      <w:rPr>
        <w:color w:val="000000"/>
        <w:sz w:val="22"/>
      </w:rPr>
      <w:t>. 2023</w:t>
    </w:r>
    <w:r w:rsidRPr="000C3DE5">
      <w:rPr>
        <w:color w:val="000000"/>
        <w:sz w:val="22"/>
      </w:rPr>
      <w:tab/>
      <w:t xml:space="preserve">  </w:t>
    </w:r>
    <w:r>
      <w:rPr>
        <w:color w:val="000000"/>
        <w:sz w:val="22"/>
      </w:rPr>
      <w:t xml:space="preserve">  </w:t>
    </w:r>
    <w:r w:rsidRPr="000C3DE5">
      <w:rPr>
        <w:color w:val="000000"/>
        <w:sz w:val="22"/>
      </w:rPr>
      <w:t xml:space="preserve">  </w:t>
    </w:r>
    <w:r>
      <w:rPr>
        <w:color w:val="000000"/>
        <w:sz w:val="22"/>
      </w:rPr>
      <w:t xml:space="preserve">   </w:t>
    </w:r>
    <w:r w:rsidRPr="000C3DE5">
      <w:rPr>
        <w:color w:val="000000"/>
        <w:sz w:val="22"/>
      </w:rPr>
      <w:t xml:space="preserve">ISSN 2358-7008 </w:t>
    </w:r>
  </w:p>
  <w:p w14:paraId="6B85EC90" w14:textId="77777777" w:rsidR="00A62416" w:rsidRDefault="00A6241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07D2F" w14:textId="77777777" w:rsidR="00880B38" w:rsidRDefault="00880B3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50370" w14:textId="77777777" w:rsidR="003B341A" w:rsidRDefault="003B341A" w:rsidP="00041E46">
      <w:pPr>
        <w:spacing w:after="0" w:line="240" w:lineRule="auto"/>
      </w:pPr>
      <w:r>
        <w:separator/>
      </w:r>
    </w:p>
  </w:footnote>
  <w:footnote w:type="continuationSeparator" w:id="0">
    <w:p w14:paraId="0D5F1869" w14:textId="77777777" w:rsidR="003B341A" w:rsidRDefault="003B341A" w:rsidP="00041E46">
      <w:pPr>
        <w:spacing w:after="0" w:line="240" w:lineRule="auto"/>
      </w:pPr>
      <w:r>
        <w:continuationSeparator/>
      </w:r>
    </w:p>
  </w:footnote>
  <w:footnote w:id="1">
    <w:p w14:paraId="5C2E0722" w14:textId="75C01BF8" w:rsidR="00B707DB" w:rsidRDefault="00B707DB" w:rsidP="00A70A45">
      <w:pPr>
        <w:pStyle w:val="Textodenotaderodap"/>
        <w:jc w:val="both"/>
      </w:pPr>
      <w:r>
        <w:rPr>
          <w:rStyle w:val="Refdenotaderodap"/>
        </w:rPr>
        <w:footnoteRef/>
      </w:r>
      <w:r>
        <w:t xml:space="preserve"> </w:t>
      </w:r>
      <w:r w:rsidRPr="00B707DB">
        <w:t xml:space="preserve"> Mestrando do Programa de Pós-Graduação/Mestrado da </w:t>
      </w:r>
      <w:proofErr w:type="spellStart"/>
      <w:r w:rsidRPr="00B707DB">
        <w:t>Unisc</w:t>
      </w:r>
      <w:proofErr w:type="spellEnd"/>
      <w:r w:rsidRPr="00B707DB">
        <w:t>. Especialista em Direito da Administração Pública. Graduado em Direito. Promotor de Justiça. Endereço eletrônico: tcosta@mpac.mp.br</w:t>
      </w:r>
      <w:r w:rsidR="00A70A4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561215997"/>
      <w:docPartObj>
        <w:docPartGallery w:val="Page Numbers (Top of Page)"/>
        <w:docPartUnique/>
      </w:docPartObj>
    </w:sdtPr>
    <w:sdtEndPr>
      <w:rPr>
        <w:rStyle w:val="Nmerodepgina"/>
      </w:rPr>
    </w:sdtEndPr>
    <w:sdtContent>
      <w:p w14:paraId="2CEDB466" w14:textId="3183F62B" w:rsidR="00340ADC" w:rsidRDefault="00340ADC" w:rsidP="00B26F2F">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2DD3CA7" w14:textId="77777777" w:rsidR="00340ADC" w:rsidRDefault="00340ADC" w:rsidP="00340ADC">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101478987"/>
      <w:docPartObj>
        <w:docPartGallery w:val="Page Numbers (Top of Page)"/>
        <w:docPartUnique/>
      </w:docPartObj>
    </w:sdtPr>
    <w:sdtEndPr>
      <w:rPr>
        <w:rStyle w:val="Nmerodepgina"/>
      </w:rPr>
    </w:sdtEndPr>
    <w:sdtContent>
      <w:p w14:paraId="4BF41487" w14:textId="4382BC96" w:rsidR="00340ADC" w:rsidRDefault="00340ADC" w:rsidP="00B26F2F">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7E4B5E1B" w14:textId="77777777" w:rsidR="00340ADC" w:rsidRDefault="00340ADC" w:rsidP="00340ADC">
    <w:pPr>
      <w:pStyle w:val="Cabealho"/>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8B345" w14:textId="77777777" w:rsidR="00880B38" w:rsidRDefault="00880B3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46"/>
    <w:rsid w:val="00041E46"/>
    <w:rsid w:val="00165D31"/>
    <w:rsid w:val="001B5C27"/>
    <w:rsid w:val="002449E4"/>
    <w:rsid w:val="00340ADC"/>
    <w:rsid w:val="00344B82"/>
    <w:rsid w:val="003B341A"/>
    <w:rsid w:val="004D2777"/>
    <w:rsid w:val="004E6CF6"/>
    <w:rsid w:val="005C258A"/>
    <w:rsid w:val="0083607A"/>
    <w:rsid w:val="00880B38"/>
    <w:rsid w:val="008B367F"/>
    <w:rsid w:val="008C1FD0"/>
    <w:rsid w:val="00A2508F"/>
    <w:rsid w:val="00A62416"/>
    <w:rsid w:val="00A70A45"/>
    <w:rsid w:val="00B707DB"/>
    <w:rsid w:val="00BF6D4F"/>
    <w:rsid w:val="00CE0B2E"/>
    <w:rsid w:val="00DC6F77"/>
    <w:rsid w:val="00EF4784"/>
    <w:rsid w:val="00F740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3B72F"/>
  <w15:chartTrackingRefBased/>
  <w15:docId w15:val="{48DF0F4A-9478-4C62-A088-32655644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46"/>
    <w:rPr>
      <w:rFonts w:ascii="Times New Roman" w:hAnsi="Times New Roman" w:cs="Times New Roman"/>
      <w:sz w:val="24"/>
      <w:szCs w:val="24"/>
    </w:rPr>
  </w:style>
  <w:style w:type="paragraph" w:styleId="Ttulo1">
    <w:name w:val="heading 1"/>
    <w:basedOn w:val="Normal"/>
    <w:next w:val="Normal"/>
    <w:link w:val="Ttulo1Char"/>
    <w:uiPriority w:val="9"/>
    <w:qFormat/>
    <w:rsid w:val="00041E46"/>
    <w:pPr>
      <w:spacing w:after="0" w:line="360" w:lineRule="auto"/>
      <w:jc w:val="center"/>
      <w:outlineLvl w:val="0"/>
    </w:pPr>
    <w:rPr>
      <w:rFonts w:ascii="Arial" w:hAnsi="Arial" w:cs="Arial"/>
      <w:b/>
      <w:lang w:eastAsia="pt-BR" w:bidi="hi-IN"/>
    </w:rPr>
  </w:style>
  <w:style w:type="paragraph" w:styleId="Ttulo2">
    <w:name w:val="heading 2"/>
    <w:basedOn w:val="Normal"/>
    <w:next w:val="Normal"/>
    <w:link w:val="Ttulo2Char"/>
    <w:uiPriority w:val="9"/>
    <w:unhideWhenUsed/>
    <w:qFormat/>
    <w:rsid w:val="00041E46"/>
    <w:pPr>
      <w:spacing w:after="0" w:line="360" w:lineRule="auto"/>
      <w:jc w:val="both"/>
      <w:outlineLvl w:val="1"/>
    </w:pPr>
    <w:rPr>
      <w:rFonts w:ascii="Arial" w:hAnsi="Arial" w:cs="Arial"/>
      <w:b/>
      <w:caps/>
    </w:rPr>
  </w:style>
  <w:style w:type="paragraph" w:styleId="Ttulo4">
    <w:name w:val="heading 4"/>
    <w:aliases w:val="Nota de rodapé"/>
    <w:basedOn w:val="Normal"/>
    <w:next w:val="Normal"/>
    <w:link w:val="Ttulo4Char"/>
    <w:uiPriority w:val="9"/>
    <w:unhideWhenUsed/>
    <w:qFormat/>
    <w:rsid w:val="00041E46"/>
    <w:pPr>
      <w:spacing w:after="0" w:line="360" w:lineRule="auto"/>
      <w:ind w:firstLine="709"/>
      <w:jc w:val="both"/>
      <w:outlineLvl w:val="3"/>
    </w:pPr>
    <w:rPr>
      <w:vertAlign w:val="superscri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41E46"/>
    <w:rPr>
      <w:rFonts w:ascii="Arial" w:hAnsi="Arial" w:cs="Arial"/>
      <w:b/>
      <w:sz w:val="24"/>
      <w:szCs w:val="24"/>
      <w:lang w:eastAsia="pt-BR" w:bidi="hi-IN"/>
    </w:rPr>
  </w:style>
  <w:style w:type="character" w:customStyle="1" w:styleId="Ttulo2Char">
    <w:name w:val="Título 2 Char"/>
    <w:basedOn w:val="Fontepargpadro"/>
    <w:link w:val="Ttulo2"/>
    <w:uiPriority w:val="9"/>
    <w:rsid w:val="00041E46"/>
    <w:rPr>
      <w:rFonts w:ascii="Arial" w:hAnsi="Arial" w:cs="Arial"/>
      <w:b/>
      <w:caps/>
      <w:sz w:val="24"/>
      <w:szCs w:val="24"/>
    </w:rPr>
  </w:style>
  <w:style w:type="character" w:customStyle="1" w:styleId="Ttulo4Char">
    <w:name w:val="Título 4 Char"/>
    <w:aliases w:val="Nota de rodapé Char"/>
    <w:basedOn w:val="Fontepargpadro"/>
    <w:link w:val="Ttulo4"/>
    <w:uiPriority w:val="9"/>
    <w:rsid w:val="00041E46"/>
    <w:rPr>
      <w:rFonts w:ascii="Times New Roman" w:hAnsi="Times New Roman" w:cs="Times New Roman"/>
      <w:sz w:val="24"/>
      <w:szCs w:val="24"/>
      <w:vertAlign w:val="superscript"/>
    </w:rPr>
  </w:style>
  <w:style w:type="paragraph" w:styleId="Cabealho">
    <w:name w:val="header"/>
    <w:basedOn w:val="Normal"/>
    <w:link w:val="CabealhoChar1"/>
    <w:uiPriority w:val="99"/>
    <w:unhideWhenUsed/>
    <w:rsid w:val="00041E46"/>
    <w:pPr>
      <w:tabs>
        <w:tab w:val="center" w:pos="4252"/>
        <w:tab w:val="right" w:pos="8504"/>
      </w:tabs>
      <w:spacing w:after="0" w:line="240" w:lineRule="auto"/>
    </w:pPr>
  </w:style>
  <w:style w:type="character" w:customStyle="1" w:styleId="CabealhoChar">
    <w:name w:val="Cabeçalho Char"/>
    <w:basedOn w:val="Fontepargpadro"/>
    <w:uiPriority w:val="99"/>
    <w:rsid w:val="00041E46"/>
    <w:rPr>
      <w:rFonts w:ascii="Times New Roman" w:hAnsi="Times New Roman" w:cs="Times New Roman"/>
      <w:sz w:val="24"/>
      <w:szCs w:val="24"/>
    </w:rPr>
  </w:style>
  <w:style w:type="character" w:customStyle="1" w:styleId="CabealhoChar1">
    <w:name w:val="Cabeçalho Char1"/>
    <w:basedOn w:val="Fontepargpadro"/>
    <w:link w:val="Cabealho"/>
    <w:uiPriority w:val="99"/>
    <w:rsid w:val="00041E46"/>
    <w:rPr>
      <w:rFonts w:ascii="Times New Roman" w:hAnsi="Times New Roman" w:cs="Times New Roman"/>
      <w:sz w:val="24"/>
      <w:szCs w:val="24"/>
    </w:rPr>
  </w:style>
  <w:style w:type="paragraph" w:customStyle="1" w:styleId="Normal2">
    <w:name w:val="Normal 2"/>
    <w:basedOn w:val="Normal"/>
    <w:link w:val="Normal2Char"/>
    <w:qFormat/>
    <w:rsid w:val="00041E46"/>
    <w:pPr>
      <w:spacing w:after="0" w:line="360" w:lineRule="auto"/>
      <w:ind w:firstLine="709"/>
      <w:jc w:val="both"/>
    </w:pPr>
    <w:rPr>
      <w:rFonts w:ascii="Arial" w:eastAsia="Arial" w:hAnsi="Arial" w:cs="Arial"/>
      <w:lang w:val="pt-PT"/>
    </w:rPr>
  </w:style>
  <w:style w:type="character" w:customStyle="1" w:styleId="Normal2Char">
    <w:name w:val="Normal 2 Char"/>
    <w:basedOn w:val="Fontepargpadro"/>
    <w:link w:val="Normal2"/>
    <w:rsid w:val="00041E46"/>
    <w:rPr>
      <w:rFonts w:ascii="Arial" w:eastAsia="Arial" w:hAnsi="Arial" w:cs="Arial"/>
      <w:sz w:val="24"/>
      <w:szCs w:val="24"/>
      <w:lang w:val="pt-PT"/>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rFonts w:ascii="Times New Roman" w:hAnsi="Times New Roman" w:cs="Times New Roman"/>
      <w:sz w:val="20"/>
      <w:szCs w:val="20"/>
    </w:rPr>
  </w:style>
  <w:style w:type="character" w:styleId="Refdecomentrio">
    <w:name w:val="annotation reference"/>
    <w:basedOn w:val="Fontepargpadro"/>
    <w:uiPriority w:val="99"/>
    <w:semiHidden/>
    <w:unhideWhenUsed/>
    <w:rPr>
      <w:sz w:val="16"/>
      <w:szCs w:val="16"/>
    </w:rPr>
  </w:style>
  <w:style w:type="paragraph" w:styleId="Assuntodocomentrio">
    <w:name w:val="annotation subject"/>
    <w:basedOn w:val="Textodecomentrio"/>
    <w:next w:val="Textodecomentrio"/>
    <w:link w:val="AssuntodocomentrioChar"/>
    <w:uiPriority w:val="99"/>
    <w:semiHidden/>
    <w:unhideWhenUsed/>
    <w:rsid w:val="005C258A"/>
    <w:rPr>
      <w:b/>
      <w:bCs/>
    </w:rPr>
  </w:style>
  <w:style w:type="character" w:customStyle="1" w:styleId="AssuntodocomentrioChar">
    <w:name w:val="Assunto do comentário Char"/>
    <w:basedOn w:val="TextodecomentrioChar"/>
    <w:link w:val="Assuntodocomentrio"/>
    <w:uiPriority w:val="99"/>
    <w:semiHidden/>
    <w:rsid w:val="005C258A"/>
    <w:rPr>
      <w:rFonts w:ascii="Times New Roman" w:hAnsi="Times New Roman" w:cs="Times New Roman"/>
      <w:b/>
      <w:bCs/>
      <w:sz w:val="20"/>
      <w:szCs w:val="20"/>
    </w:rPr>
  </w:style>
  <w:style w:type="paragraph" w:styleId="Rodap">
    <w:name w:val="footer"/>
    <w:basedOn w:val="Normal"/>
    <w:link w:val="RodapChar"/>
    <w:uiPriority w:val="99"/>
    <w:unhideWhenUsed/>
    <w:rsid w:val="00A62416"/>
    <w:pPr>
      <w:tabs>
        <w:tab w:val="center" w:pos="4252"/>
        <w:tab w:val="right" w:pos="8504"/>
      </w:tabs>
      <w:spacing w:after="0" w:line="240" w:lineRule="auto"/>
    </w:pPr>
  </w:style>
  <w:style w:type="character" w:customStyle="1" w:styleId="RodapChar">
    <w:name w:val="Rodapé Char"/>
    <w:basedOn w:val="Fontepargpadro"/>
    <w:link w:val="Rodap"/>
    <w:uiPriority w:val="99"/>
    <w:rsid w:val="00A62416"/>
    <w:rPr>
      <w:rFonts w:ascii="Times New Roman" w:hAnsi="Times New Roman" w:cs="Times New Roman"/>
      <w:sz w:val="24"/>
      <w:szCs w:val="24"/>
    </w:rPr>
  </w:style>
  <w:style w:type="paragraph" w:styleId="Pr-formataoHTML">
    <w:name w:val="HTML Preformatted"/>
    <w:basedOn w:val="Normal"/>
    <w:link w:val="Pr-formataoHTMLChar"/>
    <w:uiPriority w:val="99"/>
    <w:semiHidden/>
    <w:unhideWhenUsed/>
    <w:rsid w:val="00A62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A62416"/>
    <w:rPr>
      <w:rFonts w:ascii="Courier New" w:eastAsia="Times New Roman" w:hAnsi="Courier New" w:cs="Courier New"/>
      <w:sz w:val="20"/>
      <w:szCs w:val="20"/>
      <w:lang w:eastAsia="pt-BR"/>
    </w:rPr>
  </w:style>
  <w:style w:type="character" w:customStyle="1" w:styleId="y2iqfc">
    <w:name w:val="y2iqfc"/>
    <w:basedOn w:val="Fontepargpadro"/>
    <w:rsid w:val="00A62416"/>
  </w:style>
  <w:style w:type="paragraph" w:styleId="Textodenotaderodap">
    <w:name w:val="footnote text"/>
    <w:basedOn w:val="Normal"/>
    <w:link w:val="TextodenotaderodapChar"/>
    <w:uiPriority w:val="99"/>
    <w:semiHidden/>
    <w:unhideWhenUsed/>
    <w:rsid w:val="00B707D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707DB"/>
    <w:rPr>
      <w:rFonts w:ascii="Times New Roman" w:hAnsi="Times New Roman" w:cs="Times New Roman"/>
      <w:sz w:val="20"/>
      <w:szCs w:val="20"/>
    </w:rPr>
  </w:style>
  <w:style w:type="character" w:styleId="Refdenotaderodap">
    <w:name w:val="footnote reference"/>
    <w:basedOn w:val="Fontepargpadro"/>
    <w:uiPriority w:val="99"/>
    <w:semiHidden/>
    <w:unhideWhenUsed/>
    <w:rsid w:val="00B707DB"/>
    <w:rPr>
      <w:vertAlign w:val="superscript"/>
    </w:rPr>
  </w:style>
  <w:style w:type="character" w:styleId="Nmerodepgina">
    <w:name w:val="page number"/>
    <w:basedOn w:val="Fontepargpadro"/>
    <w:uiPriority w:val="99"/>
    <w:semiHidden/>
    <w:unhideWhenUsed/>
    <w:rsid w:val="00340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9773">
      <w:bodyDiv w:val="1"/>
      <w:marLeft w:val="0"/>
      <w:marRight w:val="0"/>
      <w:marTop w:val="0"/>
      <w:marBottom w:val="0"/>
      <w:divBdr>
        <w:top w:val="none" w:sz="0" w:space="0" w:color="auto"/>
        <w:left w:val="none" w:sz="0" w:space="0" w:color="auto"/>
        <w:bottom w:val="none" w:sz="0" w:space="0" w:color="auto"/>
        <w:right w:val="none" w:sz="0" w:space="0" w:color="auto"/>
      </w:divBdr>
    </w:div>
    <w:div w:id="163155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A964A-AC74-4874-B057-7DF138CA7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5219</Words>
  <Characters>28186</Characters>
  <Application>Microsoft Office Word</Application>
  <DocSecurity>0</DocSecurity>
  <Lines>234</Lines>
  <Paragraphs>66</Paragraphs>
  <ScaleCrop>false</ScaleCrop>
  <Company/>
  <LinksUpToDate>false</LinksUpToDate>
  <CharactersWithSpaces>33339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9</cp:revision>
  <dcterms:created xsi:type="dcterms:W3CDTF">2023-01-24T17:04:00Z</dcterms:created>
  <dcterms:modified xsi:type="dcterms:W3CDTF">2025-06-11T17:13:00Z</dcterms:modified>
</cp:coreProperties>
</file>