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C7" w:rsidRDefault="00490BC7" w:rsidP="00490BC7">
      <w:pPr>
        <w:spacing w:line="36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RECURSO EM SENTIDO ESTRITO - RESE</w:t>
      </w:r>
    </w:p>
    <w:p w:rsidR="00490BC7" w:rsidRDefault="00490BC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B86" w:rsidRPr="00C8224C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90BC7">
        <w:rPr>
          <w:rFonts w:ascii="Times New Roman" w:hAnsi="Times New Roman" w:cs="Times New Roman"/>
          <w:b/>
          <w:sz w:val="28"/>
          <w:szCs w:val="28"/>
        </w:rPr>
        <w:t>.</w:t>
      </w:r>
      <w:r w:rsidR="0088340E" w:rsidRPr="00C822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53358F">
        <w:rPr>
          <w:rFonts w:ascii="Times New Roman" w:hAnsi="Times New Roman" w:cs="Times New Roman"/>
          <w:b/>
          <w:caps/>
          <w:sz w:val="28"/>
          <w:szCs w:val="28"/>
        </w:rPr>
        <w:t>ntrodução</w:t>
      </w:r>
    </w:p>
    <w:p w:rsidR="0024373F" w:rsidRPr="00C8224C" w:rsidRDefault="0085230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O presente trabalho visa </w:t>
      </w:r>
      <w:r w:rsidR="002C079C" w:rsidRPr="00C8224C">
        <w:rPr>
          <w:rFonts w:ascii="Times New Roman" w:hAnsi="Times New Roman" w:cs="Times New Roman"/>
          <w:sz w:val="24"/>
          <w:szCs w:val="24"/>
        </w:rPr>
        <w:t>abordar</w:t>
      </w:r>
      <w:r w:rsidRPr="00C8224C">
        <w:rPr>
          <w:rFonts w:ascii="Times New Roman" w:hAnsi="Times New Roman" w:cs="Times New Roman"/>
          <w:sz w:val="24"/>
          <w:szCs w:val="24"/>
        </w:rPr>
        <w:t xml:space="preserve"> aspectos tangentes ao Recurso em Sentido Estrito, aplicável no Código de Processo Penal vigente.</w:t>
      </w:r>
      <w:r w:rsidR="0098439C" w:rsidRPr="00C82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CE4" w:rsidRPr="00C8224C" w:rsidRDefault="00664F30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O recurso em tela é um meio disponível para impugnar casos que estão taxativamente previstos no Código de Processo Penal, em consonância com o artigo 581.</w:t>
      </w:r>
    </w:p>
    <w:p w:rsidR="0024373F" w:rsidRPr="00C8224C" w:rsidRDefault="00EF1601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 Todavia, há exceções a serem aplicadas, nos casos em que a Lei de Execução Penal</w:t>
      </w:r>
      <w:r w:rsidR="008325BF" w:rsidRPr="00C8224C">
        <w:rPr>
          <w:rFonts w:ascii="Times New Roman" w:hAnsi="Times New Roman" w:cs="Times New Roman"/>
          <w:sz w:val="24"/>
          <w:szCs w:val="24"/>
        </w:rPr>
        <w:t>, Lei de Execução Penal, Lei nº. 7210/84</w:t>
      </w:r>
      <w:r w:rsidR="0098439C" w:rsidRPr="00C8224C">
        <w:rPr>
          <w:rFonts w:ascii="Times New Roman" w:hAnsi="Times New Roman" w:cs="Times New Roman"/>
          <w:sz w:val="24"/>
          <w:szCs w:val="24"/>
        </w:rPr>
        <w:t xml:space="preserve"> sobrevirá</w:t>
      </w:r>
      <w:r w:rsidR="00CD5CE4" w:rsidRPr="00C8224C">
        <w:rPr>
          <w:rFonts w:ascii="Times New Roman" w:hAnsi="Times New Roman" w:cs="Times New Roman"/>
          <w:sz w:val="24"/>
          <w:szCs w:val="24"/>
        </w:rPr>
        <w:t xml:space="preserve"> ao Código de Processo Penal.</w:t>
      </w:r>
    </w:p>
    <w:p w:rsidR="00664F30" w:rsidRPr="00C8224C" w:rsidRDefault="00CD5CE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Isto porque, em regra, a aplicabilidade norma geral é restrita quando houver lei específica que verse sobre o assunto</w:t>
      </w:r>
      <w:r w:rsidR="0024373F" w:rsidRPr="00C8224C">
        <w:rPr>
          <w:rFonts w:ascii="Times New Roman" w:hAnsi="Times New Roman" w:cs="Times New Roman"/>
          <w:sz w:val="24"/>
          <w:szCs w:val="24"/>
        </w:rPr>
        <w:t>, conforme será abordado especificamente a seguir</w:t>
      </w:r>
      <w:r w:rsidRPr="00C8224C">
        <w:rPr>
          <w:rFonts w:ascii="Times New Roman" w:hAnsi="Times New Roman" w:cs="Times New Roman"/>
          <w:sz w:val="24"/>
          <w:szCs w:val="24"/>
        </w:rPr>
        <w:t>.</w:t>
      </w:r>
    </w:p>
    <w:p w:rsidR="008325BF" w:rsidRDefault="008325B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Ademais, foram abordadas suas hipóteses de admissibilidade, cabimentos, bem como </w:t>
      </w:r>
      <w:r w:rsidR="0098439C" w:rsidRPr="00C8224C">
        <w:rPr>
          <w:rFonts w:ascii="Times New Roman" w:hAnsi="Times New Roman" w:cs="Times New Roman"/>
          <w:sz w:val="24"/>
          <w:szCs w:val="24"/>
        </w:rPr>
        <w:t>as hipóteses previstas no rol taxativo do disposto pelo Código de Processo Penal, que foram devidamente revogadas pe</w:t>
      </w:r>
      <w:r w:rsidRPr="00C8224C">
        <w:rPr>
          <w:rFonts w:ascii="Times New Roman" w:hAnsi="Times New Roman" w:cs="Times New Roman"/>
          <w:sz w:val="24"/>
          <w:szCs w:val="24"/>
        </w:rPr>
        <w:t xml:space="preserve">la Lei de Execução Penal supramencionada, </w:t>
      </w:r>
      <w:r w:rsidR="0098439C" w:rsidRPr="00C8224C">
        <w:rPr>
          <w:rFonts w:ascii="Times New Roman" w:hAnsi="Times New Roman" w:cs="Times New Roman"/>
          <w:sz w:val="24"/>
          <w:szCs w:val="24"/>
        </w:rPr>
        <w:t xml:space="preserve">em essencial, </w:t>
      </w:r>
      <w:r w:rsidRPr="00C8224C">
        <w:rPr>
          <w:rFonts w:ascii="Times New Roman" w:hAnsi="Times New Roman" w:cs="Times New Roman"/>
          <w:sz w:val="24"/>
          <w:szCs w:val="24"/>
        </w:rPr>
        <w:t xml:space="preserve">com </w:t>
      </w:r>
      <w:r w:rsidR="00595715" w:rsidRPr="00C8224C">
        <w:rPr>
          <w:rFonts w:ascii="Times New Roman" w:hAnsi="Times New Roman" w:cs="Times New Roman"/>
          <w:sz w:val="24"/>
          <w:szCs w:val="24"/>
        </w:rPr>
        <w:t>a incorporação</w:t>
      </w:r>
      <w:r w:rsidRPr="00C8224C">
        <w:rPr>
          <w:rFonts w:ascii="Times New Roman" w:hAnsi="Times New Roman" w:cs="Times New Roman"/>
          <w:sz w:val="24"/>
          <w:szCs w:val="24"/>
        </w:rPr>
        <w:t xml:space="preserve"> do recurso</w:t>
      </w:r>
      <w:r w:rsidR="0098439C" w:rsidRPr="00C8224C">
        <w:rPr>
          <w:rFonts w:ascii="Times New Roman" w:hAnsi="Times New Roman" w:cs="Times New Roman"/>
          <w:sz w:val="24"/>
          <w:szCs w:val="24"/>
        </w:rPr>
        <w:t xml:space="preserve"> de Agravo.</w:t>
      </w:r>
    </w:p>
    <w:p w:rsidR="00B441F3" w:rsidRPr="00C8224C" w:rsidRDefault="00B441F3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que pese a arguição do rol taxativo, necessário esclarecer que, ainda que </w:t>
      </w:r>
      <w:proofErr w:type="gramStart"/>
      <w:r>
        <w:rPr>
          <w:rFonts w:ascii="Times New Roman" w:hAnsi="Times New Roman" w:cs="Times New Roman"/>
          <w:sz w:val="24"/>
          <w:szCs w:val="24"/>
        </w:rPr>
        <w:t>há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entendimento predominante de sua taxatividade, há doutrinadores que entendem que ele pode ser meramente exemplificativo. Sendo assim, abordaremos a função essencial de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sua natureza jurídica, bem como </w:t>
      </w:r>
      <w:r w:rsidR="005E4B4B">
        <w:rPr>
          <w:rFonts w:ascii="Times New Roman" w:hAnsi="Times New Roman" w:cs="Times New Roman"/>
          <w:sz w:val="24"/>
          <w:szCs w:val="24"/>
        </w:rPr>
        <w:t>sua taxatividade, para que não haja escusas ou brechas na lei.</w:t>
      </w:r>
    </w:p>
    <w:p w:rsidR="0098439C" w:rsidRPr="00C8224C" w:rsidRDefault="0023476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Por fim, cumpre salientar, que foi realizada análise detalhada de cada caso que deverá ser aplicada a exceção, e não regra geral, tais como diferenças do recurso do agravo e do recurso em sentido estrito. Tal diferenciação foi restrita a ambos, uma vez que nas exceções, a exceção à regra foi essencialmente em relação </w:t>
      </w:r>
      <w:proofErr w:type="gramStart"/>
      <w:r w:rsidRPr="00C82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224C">
        <w:rPr>
          <w:rFonts w:ascii="Times New Roman" w:hAnsi="Times New Roman" w:cs="Times New Roman"/>
          <w:sz w:val="24"/>
          <w:szCs w:val="24"/>
        </w:rPr>
        <w:t xml:space="preserve"> incorporação do recurso de agravo.</w:t>
      </w:r>
    </w:p>
    <w:p w:rsidR="00980034" w:rsidRDefault="0098003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0AA0" w:rsidRPr="0053358F" w:rsidRDefault="00BC5833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3358F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490BC7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53358F" w:rsidRPr="005335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58F">
        <w:rPr>
          <w:rFonts w:ascii="Times New Roman" w:hAnsi="Times New Roman" w:cs="Times New Roman"/>
          <w:b/>
          <w:caps/>
          <w:sz w:val="28"/>
          <w:szCs w:val="28"/>
        </w:rPr>
        <w:t>Análise conceitual</w:t>
      </w:r>
    </w:p>
    <w:p w:rsidR="00980034" w:rsidRDefault="0098003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833" w:rsidRPr="00C8224C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Conceito</w:t>
      </w:r>
    </w:p>
    <w:p w:rsidR="0053358F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5128F" w:rsidRPr="00C8224C" w:rsidRDefault="000512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O recurso é um dos instrumentos que compõe a ampla defesa preconizada no art. 5º, LV, da Carta Magna Vigente, cuja função primordial é modificar decisão que lhes seja desfavorável, ante a violação cristalina da legislação. </w:t>
      </w:r>
    </w:p>
    <w:p w:rsidR="0005128F" w:rsidRDefault="000512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O Recurso em Sentido Estrito, denominado </w:t>
      </w:r>
      <w:proofErr w:type="spellStart"/>
      <w:proofErr w:type="gramStart"/>
      <w:r w:rsidR="00C90BBA" w:rsidRPr="00C8224C">
        <w:rPr>
          <w:rFonts w:ascii="Times New Roman" w:hAnsi="Times New Roman" w:cs="Times New Roman"/>
          <w:sz w:val="24"/>
          <w:szCs w:val="24"/>
        </w:rPr>
        <w:t>ReSE</w:t>
      </w:r>
      <w:proofErr w:type="spellEnd"/>
      <w:proofErr w:type="gramEnd"/>
      <w:r w:rsidRPr="00C8224C">
        <w:rPr>
          <w:rFonts w:ascii="Times New Roman" w:hAnsi="Times New Roman" w:cs="Times New Roman"/>
          <w:sz w:val="24"/>
          <w:szCs w:val="24"/>
        </w:rPr>
        <w:t>, é utilizado para o reexame das decisões previstas no rol do artigo 581, do Código de Processo Penal.</w:t>
      </w:r>
    </w:p>
    <w:p w:rsidR="006B4371" w:rsidRDefault="006B4371" w:rsidP="0085227C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71">
        <w:rPr>
          <w:rFonts w:ascii="Times New Roman" w:hAnsi="Times New Roman" w:cs="Times New Roman"/>
          <w:color w:val="000000"/>
          <w:sz w:val="24"/>
          <w:szCs w:val="24"/>
        </w:rPr>
        <w:t>Além disso, também serve para atacar decisão definitiva com julgamento de mérito. Não somente de decisão interlocutória mista terminativa e não terminativa. É que a própria extinção da punibilidade é uma decisão definitiva com julgamento de mérito, mas não é sentença porque não absolve nem condena ninguém. Por isso a</w:t>
      </w:r>
      <w:r w:rsidRPr="006B4371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6B4371">
        <w:rPr>
          <w:rFonts w:ascii="Times New Roman" w:hAnsi="Times New Roman" w:cs="Times New Roman"/>
          <w:color w:val="000000"/>
          <w:sz w:val="24"/>
          <w:szCs w:val="24"/>
        </w:rPr>
        <w:t>extinção da punibilidade também pode ser atacada por recurso em sentido estrito. Se na sentença, o recurso cabível é apelação como regra. Mas vamos observar sempre o momento em que ocorreu a extinção da punibilidade.</w:t>
      </w:r>
    </w:p>
    <w:p w:rsidR="00E24CEF" w:rsidRDefault="00066F0A" w:rsidP="00066F0A">
      <w:pPr>
        <w:spacing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Ainda nesse sentido, cumpre salientar, que é considerada como 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Pr="00066F0A">
        <w:rPr>
          <w:rFonts w:ascii="Times New Roman" w:hAnsi="Times New Roman" w:cs="Times New Roman"/>
          <w:color w:val="333333"/>
          <w:sz w:val="24"/>
          <w:szCs w:val="24"/>
        </w:rPr>
        <w:t>ecisão interlocutória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de cujo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definitivo, toda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aquela </w:t>
      </w:r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que não resolva o mérito da lide, </w:t>
      </w:r>
      <w:r w:rsidR="00E24CEF">
        <w:rPr>
          <w:rFonts w:ascii="Times New Roman" w:hAnsi="Times New Roman" w:cs="Times New Roman"/>
          <w:color w:val="333333"/>
          <w:sz w:val="24"/>
          <w:szCs w:val="24"/>
        </w:rPr>
        <w:t xml:space="preserve">merecendo assim, </w:t>
      </w:r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ser atacada por meio de recurso em sentido estrito. </w:t>
      </w:r>
    </w:p>
    <w:p w:rsidR="00066F0A" w:rsidRPr="00066F0A" w:rsidRDefault="00066F0A" w:rsidP="00066F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Nesse ponto, </w:t>
      </w:r>
      <w:r w:rsidR="00E24CEF">
        <w:rPr>
          <w:rFonts w:ascii="Times New Roman" w:hAnsi="Times New Roman" w:cs="Times New Roman"/>
          <w:color w:val="333333"/>
          <w:sz w:val="24"/>
          <w:szCs w:val="24"/>
        </w:rPr>
        <w:t>cumpre e</w:t>
      </w:r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sclarecer que decisões com força de definitiva ou interlocutórias mistas terminativas são </w:t>
      </w:r>
      <w:proofErr w:type="gramStart"/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aquelas que </w:t>
      </w:r>
      <w:r w:rsidR="00E24CEF">
        <w:rPr>
          <w:rFonts w:ascii="Times New Roman" w:hAnsi="Times New Roman" w:cs="Times New Roman"/>
          <w:color w:val="333333"/>
          <w:sz w:val="24"/>
          <w:szCs w:val="24"/>
        </w:rPr>
        <w:t>tem</w:t>
      </w:r>
      <w:proofErr w:type="gramEnd"/>
      <w:r w:rsidR="00E24CEF">
        <w:rPr>
          <w:rFonts w:ascii="Times New Roman" w:hAnsi="Times New Roman" w:cs="Times New Roman"/>
          <w:color w:val="333333"/>
          <w:sz w:val="24"/>
          <w:szCs w:val="24"/>
        </w:rPr>
        <w:t xml:space="preserve"> o condão de extinguir </w:t>
      </w:r>
      <w:r w:rsidRPr="00066F0A">
        <w:rPr>
          <w:rFonts w:ascii="Times New Roman" w:hAnsi="Times New Roman" w:cs="Times New Roman"/>
          <w:color w:val="333333"/>
          <w:sz w:val="24"/>
          <w:szCs w:val="24"/>
        </w:rPr>
        <w:t xml:space="preserve">o procedimento, </w:t>
      </w:r>
      <w:r w:rsidR="00E24CEF">
        <w:rPr>
          <w:rFonts w:ascii="Times New Roman" w:hAnsi="Times New Roman" w:cs="Times New Roman"/>
          <w:color w:val="333333"/>
          <w:sz w:val="24"/>
          <w:szCs w:val="24"/>
        </w:rPr>
        <w:t xml:space="preserve">todavia, não adentram </w:t>
      </w:r>
      <w:r w:rsidRPr="00066F0A">
        <w:rPr>
          <w:rFonts w:ascii="Times New Roman" w:hAnsi="Times New Roman" w:cs="Times New Roman"/>
          <w:color w:val="333333"/>
          <w:sz w:val="24"/>
          <w:szCs w:val="24"/>
        </w:rPr>
        <w:t>no mérito da pretensão punitiva estatal, bem como aquelas que decidem questões incidentes de maneira definitiva, sem possibilidade de seu reexame pelo mesmo órgão julgador</w:t>
      </w:r>
    </w:p>
    <w:p w:rsidR="00003381" w:rsidRDefault="000219E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Nas sábias palavras de Paulo Rangel: “Porém, no sentido estrito da palavra, é todo remédio jurídico processual pela qual se visa o reexame, por um órgão jurisdicional superior, de uma decisão não transitada em julgado</w:t>
      </w:r>
      <w:proofErr w:type="gramStart"/>
      <w:r w:rsidRPr="00C8224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0338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FF5170" w:rsidRPr="00C8224C">
        <w:rPr>
          <w:rFonts w:ascii="Times New Roman" w:hAnsi="Times New Roman" w:cs="Times New Roman"/>
          <w:sz w:val="24"/>
          <w:szCs w:val="24"/>
        </w:rPr>
        <w:t>.</w:t>
      </w:r>
      <w:bookmarkStart w:id="0" w:name="Autor"/>
      <w:bookmarkEnd w:id="0"/>
      <w:r w:rsidR="00015572" w:rsidRPr="00C82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5572" w:rsidRPr="00C8224C">
        <w:rPr>
          <w:rFonts w:ascii="Times New Roman" w:hAnsi="Times New Roman" w:cs="Times New Roman"/>
          <w:sz w:val="24"/>
          <w:szCs w:val="24"/>
        </w:rPr>
        <w:t>(cf. Rangel, Paulo</w:t>
      </w:r>
      <w:r w:rsidR="00015572" w:rsidRPr="00C8224C">
        <w:rPr>
          <w:rFonts w:ascii="Times New Roman" w:hAnsi="Times New Roman" w:cs="Times New Roman"/>
          <w:i/>
          <w:sz w:val="24"/>
          <w:szCs w:val="24"/>
        </w:rPr>
        <w:t xml:space="preserve"> Direito Processual Penal</w:t>
      </w:r>
      <w:r w:rsidR="00015572" w:rsidRPr="00C8224C">
        <w:rPr>
          <w:rFonts w:ascii="Times New Roman" w:hAnsi="Times New Roman" w:cs="Times New Roman"/>
          <w:sz w:val="24"/>
          <w:szCs w:val="24"/>
        </w:rPr>
        <w:t>,</w:t>
      </w:r>
      <w:r w:rsidR="00C90BBA" w:rsidRPr="00C8224C">
        <w:rPr>
          <w:rFonts w:ascii="Times New Roman" w:hAnsi="Times New Roman" w:cs="Times New Roman"/>
          <w:sz w:val="24"/>
          <w:szCs w:val="24"/>
        </w:rPr>
        <w:t xml:space="preserve"> </w:t>
      </w:r>
      <w:r w:rsidR="00015572" w:rsidRPr="00C8224C">
        <w:rPr>
          <w:rFonts w:ascii="Times New Roman" w:hAnsi="Times New Roman" w:cs="Times New Roman"/>
          <w:sz w:val="24"/>
          <w:szCs w:val="24"/>
        </w:rPr>
        <w:t>p.1008, 23ª edição, 2014.</w:t>
      </w:r>
      <w:proofErr w:type="gramEnd"/>
      <w:r w:rsidR="00015572" w:rsidRPr="00C8224C">
        <w:rPr>
          <w:rFonts w:ascii="Times New Roman" w:hAnsi="Times New Roman" w:cs="Times New Roman"/>
          <w:sz w:val="24"/>
          <w:szCs w:val="24"/>
        </w:rPr>
        <w:t xml:space="preserve"> Ed. Atlas</w:t>
      </w:r>
    </w:p>
    <w:p w:rsidR="0088340E" w:rsidRPr="00C8224C" w:rsidRDefault="0030730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lastRenderedPageBreak/>
        <w:t>Assim, percebe-se que todos os recursos que estão previstos no Código de Processo Penal são em sentido estrito, tais como o recurso de apelação, embargos infringentes, protesto por novo júri, embargos de declaração, com exceção, do recurso de agravo.</w:t>
      </w:r>
    </w:p>
    <w:p w:rsidR="00BD45DB" w:rsidRPr="006B346F" w:rsidRDefault="00BD45DB" w:rsidP="006B346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Ademais, cumpre ressalvar a diferenciação entre o recurso em sentido estrito do </w:t>
      </w:r>
      <w:r w:rsidRPr="00C8224C">
        <w:rPr>
          <w:rFonts w:ascii="Times New Roman" w:hAnsi="Times New Roman" w:cs="Times New Roman"/>
          <w:i/>
          <w:sz w:val="24"/>
          <w:szCs w:val="24"/>
        </w:rPr>
        <w:t>habeas corpus</w:t>
      </w:r>
      <w:r w:rsidR="00FE5A6A" w:rsidRPr="00C8224C">
        <w:rPr>
          <w:rFonts w:ascii="Times New Roman" w:hAnsi="Times New Roman" w:cs="Times New Roman"/>
          <w:sz w:val="24"/>
          <w:szCs w:val="24"/>
        </w:rPr>
        <w:t xml:space="preserve"> e da revisão criminal, razão pela qual a denominação adequada para estes não seria no </w:t>
      </w:r>
      <w:r w:rsidR="00FE5A6A" w:rsidRPr="006B346F">
        <w:rPr>
          <w:rFonts w:ascii="Times New Roman" w:hAnsi="Times New Roman" w:cs="Times New Roman"/>
          <w:sz w:val="24"/>
          <w:szCs w:val="24"/>
        </w:rPr>
        <w:t>sentido estrito, mas sim, no sentido amplo.</w:t>
      </w:r>
    </w:p>
    <w:p w:rsidR="00FE5A6A" w:rsidRPr="006B346F" w:rsidRDefault="00FE5A6A" w:rsidP="006B346F">
      <w:pPr>
        <w:spacing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B346F">
        <w:rPr>
          <w:rFonts w:ascii="Times New Roman" w:hAnsi="Times New Roman" w:cs="Times New Roman"/>
          <w:sz w:val="24"/>
          <w:szCs w:val="24"/>
        </w:rPr>
        <w:t xml:space="preserve">Logo, conclui-se que o recurso é o meio processual pela qual se impugna decisão, diferenciando-se no sentido amplo e estrito em relação ao órgão julgador, bem como a matéria a ser analisada, visto que, no primeiro, almeja-se a impugnação da decisão, enquanto </w:t>
      </w:r>
      <w:r w:rsidRPr="006B346F">
        <w:rPr>
          <w:rFonts w:ascii="Times New Roman" w:hAnsi="Times New Roman" w:cs="Times New Roman"/>
          <w:color w:val="333333"/>
          <w:sz w:val="24"/>
          <w:szCs w:val="24"/>
        </w:rPr>
        <w:t>que no segundo, pleiteia-se o reexame da matéria por órgão de instância superior aquela que proferiu a decisão ora impugnada.</w:t>
      </w:r>
    </w:p>
    <w:p w:rsidR="006B346F" w:rsidRPr="006B346F" w:rsidRDefault="006B346F" w:rsidP="006B346F">
      <w:pPr>
        <w:spacing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B346F">
        <w:rPr>
          <w:rFonts w:ascii="Times New Roman" w:hAnsi="Times New Roman" w:cs="Times New Roman"/>
          <w:color w:val="333333"/>
          <w:sz w:val="24"/>
          <w:szCs w:val="24"/>
        </w:rPr>
        <w:t>Por esta razão, é necessário que ocorra a supressão dos poderes atuação irrestrito e</w:t>
      </w:r>
      <w:r w:rsidRPr="006B34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B346F">
        <w:rPr>
          <w:rFonts w:ascii="Times New Roman" w:hAnsi="Times New Roman" w:cs="Times New Roman"/>
          <w:i/>
          <w:iCs/>
          <w:sz w:val="24"/>
          <w:szCs w:val="24"/>
        </w:rPr>
        <w:t>ex</w:t>
      </w:r>
      <w:proofErr w:type="spellEnd"/>
      <w:r w:rsidRPr="006B34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B346F">
        <w:rPr>
          <w:rFonts w:ascii="Times New Roman" w:hAnsi="Times New Roman" w:cs="Times New Roman"/>
          <w:i/>
          <w:iCs/>
          <w:sz w:val="24"/>
          <w:szCs w:val="24"/>
        </w:rPr>
        <w:t>officio</w:t>
      </w:r>
      <w:proofErr w:type="spellEnd"/>
      <w:r w:rsidRPr="006B346F">
        <w:rPr>
          <w:rFonts w:ascii="Times New Roman" w:hAnsi="Times New Roman" w:cs="Times New Roman"/>
          <w:sz w:val="24"/>
          <w:szCs w:val="24"/>
        </w:rPr>
        <w:t> </w:t>
      </w:r>
      <w:r w:rsidRPr="006B346F">
        <w:rPr>
          <w:rFonts w:ascii="Times New Roman" w:hAnsi="Times New Roman" w:cs="Times New Roman"/>
          <w:color w:val="333333"/>
          <w:sz w:val="24"/>
          <w:szCs w:val="24"/>
        </w:rPr>
        <w:t>do julgador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6B346F">
        <w:rPr>
          <w:rFonts w:ascii="Times New Roman" w:hAnsi="Times New Roman" w:cs="Times New Roman"/>
          <w:color w:val="333333"/>
          <w:sz w:val="24"/>
          <w:szCs w:val="24"/>
        </w:rPr>
        <w:t xml:space="preserve"> decorrentes em boa parte do princípio autoritário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6B346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color w:val="333333"/>
          <w:sz w:val="24"/>
          <w:szCs w:val="24"/>
        </w:rPr>
        <w:footnoteReference w:id="2"/>
      </w:r>
    </w:p>
    <w:p w:rsidR="00354E9C" w:rsidRDefault="00354E9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C5833" w:rsidRPr="0053358F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2.2</w:t>
      </w:r>
      <w:r w:rsidRPr="00533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53358F">
        <w:rPr>
          <w:rFonts w:ascii="Times New Roman" w:hAnsi="Times New Roman" w:cs="Times New Roman"/>
          <w:b/>
          <w:sz w:val="28"/>
          <w:szCs w:val="28"/>
        </w:rPr>
        <w:t>strutura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formal, prazos e procedimentos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F21C7" w:rsidRPr="00B95578" w:rsidRDefault="004F21C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Em que pese sua estrutura formal, o artigo 578, do CPP, disciplina que este deverá ser interposto por petição ou por termo nos autos, devendo ser assinado pelo recorrente, ou ainda, por seu representante legal.</w:t>
      </w:r>
      <w:r w:rsidR="00B95578">
        <w:rPr>
          <w:rFonts w:ascii="Times New Roman" w:hAnsi="Times New Roman" w:cs="Times New Roman"/>
          <w:sz w:val="24"/>
          <w:szCs w:val="24"/>
        </w:rPr>
        <w:t xml:space="preserve"> Deverá</w:t>
      </w:r>
      <w:proofErr w:type="gramStart"/>
      <w:r w:rsidR="00B95578"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 w:rsidR="00B95578">
        <w:rPr>
          <w:rFonts w:ascii="Times New Roman" w:hAnsi="Times New Roman" w:cs="Times New Roman"/>
          <w:sz w:val="24"/>
          <w:szCs w:val="24"/>
        </w:rPr>
        <w:t xml:space="preserve">, obedecer a forma estabelecida em lei, devendo ser somente escrito, e interposto por meio de representante processual, não sendo cabível o </w:t>
      </w:r>
      <w:proofErr w:type="spellStart"/>
      <w:r w:rsidR="00B95578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B955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95578">
        <w:rPr>
          <w:rFonts w:ascii="Times New Roman" w:hAnsi="Times New Roman" w:cs="Times New Roman"/>
          <w:i/>
          <w:sz w:val="24"/>
          <w:szCs w:val="24"/>
        </w:rPr>
        <w:t>postulanti</w:t>
      </w:r>
      <w:proofErr w:type="spellEnd"/>
      <w:r w:rsidR="00B95578">
        <w:rPr>
          <w:rFonts w:ascii="Times New Roman" w:hAnsi="Times New Roman" w:cs="Times New Roman"/>
          <w:i/>
          <w:sz w:val="24"/>
          <w:szCs w:val="24"/>
        </w:rPr>
        <w:t>.</w:t>
      </w:r>
    </w:p>
    <w:p w:rsidR="005D477A" w:rsidRDefault="005D477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recurso em sentido estrito deverá ser interposto em duas peças, sendo que estas deverão ser uma de interposição, e a outra a que se </w:t>
      </w:r>
      <w:r w:rsidR="006C63C6">
        <w:rPr>
          <w:rFonts w:ascii="Times New Roman" w:hAnsi="Times New Roman" w:cs="Times New Roman"/>
          <w:sz w:val="24"/>
          <w:szCs w:val="24"/>
        </w:rPr>
        <w:t>apresentam</w:t>
      </w:r>
      <w:r>
        <w:rPr>
          <w:rFonts w:ascii="Times New Roman" w:hAnsi="Times New Roman" w:cs="Times New Roman"/>
          <w:sz w:val="24"/>
          <w:szCs w:val="24"/>
        </w:rPr>
        <w:t xml:space="preserve"> as razões do recurso, bem como a síntese fática.</w:t>
      </w:r>
      <w:r w:rsidR="00613DFA">
        <w:rPr>
          <w:rFonts w:ascii="Times New Roman" w:hAnsi="Times New Roman" w:cs="Times New Roman"/>
          <w:sz w:val="24"/>
          <w:szCs w:val="24"/>
        </w:rPr>
        <w:t xml:space="preserve"> A terminologia adequada para apresentação é o uso da terminologia recorrente e corrido.</w:t>
      </w:r>
    </w:p>
    <w:p w:rsidR="008B5E01" w:rsidRPr="005D477A" w:rsidRDefault="008B5E01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Ambas as peças deverão ser endereçadas ao Egrégio Tribunal, que poderá ser do Tribunal de Justiça, ou ainda, o para o Tribunal Regional Federal.</w:t>
      </w:r>
    </w:p>
    <w:p w:rsidR="00B12161" w:rsidRDefault="00B12161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Ainda nesse sentido, verifica-se que o deverá ser respeitado o prazo de 05 (cinco) dias, conforme aplicação da regra geral disposta no artigo 586, do Código supracitado.</w:t>
      </w:r>
      <w:r w:rsidR="002A42DE" w:rsidRPr="00C8224C">
        <w:rPr>
          <w:rFonts w:ascii="Times New Roman" w:hAnsi="Times New Roman" w:cs="Times New Roman"/>
          <w:sz w:val="24"/>
          <w:szCs w:val="24"/>
        </w:rPr>
        <w:t xml:space="preserve"> No entanto, há exceção quando da sentença que declarar a punibilidade, razão pela qual, neste caso, o prazo de 05 (cinco dias) se inicia para o </w:t>
      </w:r>
      <w:r w:rsidR="002A42DE" w:rsidRPr="00C8224C">
        <w:rPr>
          <w:rFonts w:ascii="Times New Roman" w:hAnsi="Times New Roman" w:cs="Times New Roman"/>
          <w:i/>
          <w:sz w:val="24"/>
          <w:szCs w:val="24"/>
        </w:rPr>
        <w:t xml:space="preserve">Parquet, </w:t>
      </w:r>
      <w:r w:rsidR="002A42DE" w:rsidRPr="00C8224C">
        <w:rPr>
          <w:rFonts w:ascii="Times New Roman" w:hAnsi="Times New Roman" w:cs="Times New Roman"/>
          <w:sz w:val="24"/>
          <w:szCs w:val="24"/>
        </w:rPr>
        <w:t>e, somente quando este deixar de recorrer, inicia-se o prazo de 15 (quinze) dias para os demais interessados elencados no artigo 31.</w:t>
      </w:r>
    </w:p>
    <w:p w:rsidR="00F04A37" w:rsidRPr="00C8224C" w:rsidRDefault="00F04A3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Todavia, há exceção no caso do assistente de acusação, habilitado ou não, pois o prazo será de 15 (quinze dias). No entanto, o Tourinho Filho, esclarece, em seu entendimento pessoal, que se o assistente for habilitado, o prazo será da regra geral, ou seja, de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(cinco) dias</w:t>
      </w:r>
      <w:r w:rsidR="007667F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833" w:rsidRDefault="00BC5833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No mais, no que tange ao prazo para oferecimento das razões e contrarrazões, este será de 02 (dois) dias, que se iniciam da data da intimação</w:t>
      </w:r>
      <w:r w:rsidR="00307305" w:rsidRPr="00C8224C">
        <w:rPr>
          <w:rFonts w:ascii="Times New Roman" w:hAnsi="Times New Roman" w:cs="Times New Roman"/>
          <w:sz w:val="24"/>
          <w:szCs w:val="24"/>
        </w:rPr>
        <w:t>, e não da data em que houver sido proferida a decisão</w:t>
      </w:r>
      <w:r w:rsidRPr="00C8224C">
        <w:rPr>
          <w:rFonts w:ascii="Times New Roman" w:hAnsi="Times New Roman" w:cs="Times New Roman"/>
          <w:sz w:val="24"/>
          <w:szCs w:val="24"/>
        </w:rPr>
        <w:t>.</w:t>
      </w:r>
    </w:p>
    <w:p w:rsidR="00FA3BF1" w:rsidRDefault="00FA3BF1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Apresentadas as razões e contrarrazões, será cabível o juízo de retratação</w:t>
      </w:r>
      <w:r w:rsidR="001E629F">
        <w:rPr>
          <w:rFonts w:ascii="Times New Roman" w:hAnsi="Times New Roman" w:cs="Times New Roman"/>
          <w:sz w:val="24"/>
          <w:szCs w:val="24"/>
        </w:rPr>
        <w:t>, e, neste momento, o juiz poderá reformar ou manter sua decisão</w:t>
      </w:r>
      <w:r w:rsidR="008F6808">
        <w:rPr>
          <w:rFonts w:ascii="Times New Roman" w:hAnsi="Times New Roman" w:cs="Times New Roman"/>
          <w:sz w:val="24"/>
          <w:szCs w:val="24"/>
        </w:rPr>
        <w:t>. Caso mantenha a decisão, o juiz determinará a subida dos autos ao Tribunal, todavia, se o juiz vier a reformar a decisão, a parte que se sentir prejudicada, através de simples petição, poderá recorrer de nova decisão, conforme dispõe o artigo 589, § único, do Código de Processo Penal.</w:t>
      </w:r>
    </w:p>
    <w:p w:rsidR="00EA474F" w:rsidRPr="00C8224C" w:rsidRDefault="00EA474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da reforma, por outro lado, não couber recurso, o processo prossegue, podendo o interessado arguir a matéria em grau de recurso de apelação.</w:t>
      </w:r>
    </w:p>
    <w:p w:rsidR="004C44DA" w:rsidRDefault="004C44D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depois de apresentadas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razões e contrarrazões, mantendo o juiz a decisão recorrida, será realizada a montagem dos autos suplementares (Comarca do interior),</w:t>
      </w:r>
      <w:r w:rsidR="008A2A45">
        <w:rPr>
          <w:rFonts w:ascii="Times New Roman" w:hAnsi="Times New Roman" w:cs="Times New Roman"/>
          <w:sz w:val="24"/>
          <w:szCs w:val="24"/>
        </w:rPr>
        <w:t xml:space="preserve"> com a remessa dos autos originais ao Tribunal</w:t>
      </w:r>
      <w:r w:rsidR="00EA474F">
        <w:rPr>
          <w:rFonts w:ascii="Times New Roman" w:hAnsi="Times New Roman" w:cs="Times New Roman"/>
          <w:sz w:val="24"/>
          <w:szCs w:val="24"/>
        </w:rPr>
        <w:t>. A partir de então, darão entrada na secretaria, obedecendo às formalidades de praxe concedendo vista ao Procurador, para que este manifeste o parecer, bem como vista ao Relator e Revisor.</w:t>
      </w:r>
    </w:p>
    <w:p w:rsidR="00EA474F" w:rsidRDefault="00EA474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35492">
        <w:rPr>
          <w:rFonts w:ascii="Times New Roman" w:hAnsi="Times New Roman" w:cs="Times New Roman"/>
          <w:sz w:val="24"/>
          <w:szCs w:val="24"/>
        </w:rPr>
        <w:t xml:space="preserve">Quando designada data do julgamento, será realizada a intimação das partes para que tomem ciência acerca da data programada, bem como será feita a intimação do julgamento final. Após, será realizada a publicação da ementa/acórdão no Diário </w:t>
      </w:r>
      <w:proofErr w:type="gramStart"/>
      <w:r w:rsidR="00D35492">
        <w:rPr>
          <w:rFonts w:ascii="Times New Roman" w:hAnsi="Times New Roman" w:cs="Times New Roman"/>
          <w:sz w:val="24"/>
          <w:szCs w:val="24"/>
        </w:rPr>
        <w:t>Oficial</w:t>
      </w:r>
      <w:proofErr w:type="gramEnd"/>
    </w:p>
    <w:p w:rsidR="00841873" w:rsidRDefault="00841873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Após sua interposição, subiram os próprios autos </w:t>
      </w:r>
      <w:proofErr w:type="gramStart"/>
      <w:r w:rsidRPr="00C8224C">
        <w:rPr>
          <w:rFonts w:ascii="Times New Roman" w:hAnsi="Times New Roman" w:cs="Times New Roman"/>
          <w:sz w:val="24"/>
          <w:szCs w:val="24"/>
        </w:rPr>
        <w:t>no recursos</w:t>
      </w:r>
      <w:proofErr w:type="gramEnd"/>
      <w:r w:rsidRPr="00C8224C">
        <w:rPr>
          <w:rFonts w:ascii="Times New Roman" w:hAnsi="Times New Roman" w:cs="Times New Roman"/>
          <w:sz w:val="24"/>
          <w:szCs w:val="24"/>
        </w:rPr>
        <w:t>, nos casos em que houver a interposição de ofícios, ou ainda, nas hipóteses elencadas nos incisos I, III, IV, VI, VIII e X, desde que não forem prejudiciais ao andamento regular do processo.</w:t>
      </w:r>
    </w:p>
    <w:p w:rsidR="002B07E7" w:rsidRDefault="002B07E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o juiz não receber ou, ainda que </w:t>
      </w:r>
      <w:r w:rsidR="004C44DA">
        <w:rPr>
          <w:rFonts w:ascii="Times New Roman" w:hAnsi="Times New Roman" w:cs="Times New Roman"/>
          <w:sz w:val="24"/>
          <w:szCs w:val="24"/>
        </w:rPr>
        <w:t>receba</w:t>
      </w:r>
      <w:r>
        <w:rPr>
          <w:rFonts w:ascii="Times New Roman" w:hAnsi="Times New Roman" w:cs="Times New Roman"/>
          <w:sz w:val="24"/>
          <w:szCs w:val="24"/>
        </w:rPr>
        <w:t>, obste o prosseguimento do recurso em sentido estrito, admite-se a interposição de Carta Testemunhável.</w:t>
      </w:r>
    </w:p>
    <w:p w:rsidR="002B07E7" w:rsidRDefault="002B07E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outro lado, se o </w:t>
      </w:r>
      <w:r>
        <w:rPr>
          <w:rFonts w:ascii="Times New Roman" w:hAnsi="Times New Roman" w:cs="Times New Roman"/>
          <w:i/>
          <w:sz w:val="24"/>
          <w:szCs w:val="24"/>
        </w:rPr>
        <w:t xml:space="preserve">habeas corpus </w:t>
      </w:r>
      <w:r w:rsidR="008121D5">
        <w:rPr>
          <w:rFonts w:ascii="Times New Roman" w:hAnsi="Times New Roman" w:cs="Times New Roman"/>
          <w:sz w:val="24"/>
          <w:szCs w:val="24"/>
        </w:rPr>
        <w:t xml:space="preserve">for denegado em primeira instância, admite-se o Recurso em Sentido Estrito, e, se o </w:t>
      </w:r>
      <w:r w:rsidR="008121D5">
        <w:rPr>
          <w:rFonts w:ascii="Times New Roman" w:hAnsi="Times New Roman" w:cs="Times New Roman"/>
          <w:i/>
          <w:sz w:val="24"/>
          <w:szCs w:val="24"/>
        </w:rPr>
        <w:t>habeas corpus</w:t>
      </w:r>
      <w:r w:rsidR="004A52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2DB">
        <w:rPr>
          <w:rFonts w:ascii="Times New Roman" w:hAnsi="Times New Roman" w:cs="Times New Roman"/>
          <w:sz w:val="24"/>
          <w:szCs w:val="24"/>
        </w:rPr>
        <w:t>for denegado no próprio Tribunal, será admitido o Recurso Ordinário Constitucional.</w:t>
      </w:r>
    </w:p>
    <w:p w:rsidR="007C7B7A" w:rsidRDefault="00395506" w:rsidP="00395506">
      <w:pPr>
        <w:spacing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95506">
        <w:rPr>
          <w:rFonts w:ascii="Times New Roman" w:hAnsi="Times New Roman" w:cs="Times New Roman"/>
          <w:color w:val="333333"/>
          <w:sz w:val="24"/>
          <w:szCs w:val="24"/>
        </w:rPr>
        <w:t>Nesse sentido, cumpre salientar, que ainda que</w:t>
      </w:r>
      <w:proofErr w:type="gramStart"/>
      <w:r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proofErr w:type="gramEnd"/>
      <w:r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o recurso em sentido estrito, </w:t>
      </w:r>
      <w:proofErr w:type="spellStart"/>
      <w:r w:rsidRPr="00395506">
        <w:rPr>
          <w:rFonts w:ascii="Times New Roman" w:hAnsi="Times New Roman" w:cs="Times New Roman"/>
          <w:color w:val="333333"/>
          <w:sz w:val="24"/>
          <w:szCs w:val="24"/>
        </w:rPr>
        <w:t>ReSE</w:t>
      </w:r>
      <w:proofErr w:type="spellEnd"/>
      <w:r w:rsidRPr="00395506">
        <w:rPr>
          <w:rFonts w:ascii="Times New Roman" w:hAnsi="Times New Roman" w:cs="Times New Roman"/>
          <w:color w:val="333333"/>
          <w:sz w:val="24"/>
          <w:szCs w:val="24"/>
        </w:rPr>
        <w:t>, o manejo dos remédios constitucionais</w:t>
      </w:r>
      <w:r w:rsidRPr="00395506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95506">
        <w:rPr>
          <w:rStyle w:val="nfas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habeas corpus</w:t>
      </w:r>
      <w:r w:rsidRPr="00395506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,</w:t>
      </w:r>
      <w:r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como de mandado de segurança, seja procedimento adequado à rediscussão do provimento jurisdicional, exatamente porque são demandas de espectro limitado à incontroversa fática da pretensão que veiculam. </w:t>
      </w:r>
    </w:p>
    <w:p w:rsidR="007C7B7A" w:rsidRDefault="007C7B7A" w:rsidP="00395506">
      <w:pPr>
        <w:spacing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Nesse caso, podemos analisar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95506"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End"/>
      <w:r w:rsidR="00395506" w:rsidRPr="00395506">
        <w:rPr>
          <w:rFonts w:ascii="Times New Roman" w:hAnsi="Times New Roman" w:cs="Times New Roman"/>
          <w:color w:val="333333"/>
          <w:sz w:val="24"/>
          <w:szCs w:val="24"/>
        </w:rPr>
        <w:t>quando o acusado pretende rediscutir decisão que ind</w:t>
      </w:r>
      <w:r>
        <w:rPr>
          <w:rFonts w:ascii="Times New Roman" w:hAnsi="Times New Roman" w:cs="Times New Roman"/>
          <w:color w:val="333333"/>
          <w:sz w:val="24"/>
          <w:szCs w:val="24"/>
        </w:rPr>
        <w:t>efere meio de prova, e argumenta</w:t>
      </w:r>
      <w:r w:rsidR="00395506"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sua imprescindibilidade na possibilidade de demonstrar sua inocência, acaso não comprovada a certeza de sua eficácia enquanto meio de prova, não há que se falar em </w:t>
      </w:r>
      <w:proofErr w:type="spellStart"/>
      <w:r w:rsidR="00395506" w:rsidRPr="00395506">
        <w:rPr>
          <w:rFonts w:ascii="Times New Roman" w:hAnsi="Times New Roman" w:cs="Times New Roman"/>
          <w:color w:val="333333"/>
          <w:sz w:val="24"/>
          <w:szCs w:val="24"/>
        </w:rPr>
        <w:t>incontrovérsia</w:t>
      </w:r>
      <w:proofErr w:type="spellEnd"/>
      <w:r w:rsidR="00395506"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fática hábil a ensejar algum desses remédios. </w:t>
      </w:r>
    </w:p>
    <w:p w:rsidR="00395506" w:rsidRPr="00395506" w:rsidRDefault="00395506" w:rsidP="0039550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Assim, </w:t>
      </w:r>
      <w:r w:rsidR="007C7B7A">
        <w:rPr>
          <w:rFonts w:ascii="Times New Roman" w:hAnsi="Times New Roman" w:cs="Times New Roman"/>
          <w:color w:val="333333"/>
          <w:sz w:val="24"/>
          <w:szCs w:val="24"/>
        </w:rPr>
        <w:t>surge um âmbito</w:t>
      </w:r>
      <w:r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de não </w:t>
      </w:r>
      <w:proofErr w:type="spellStart"/>
      <w:r w:rsidRPr="00395506">
        <w:rPr>
          <w:rFonts w:ascii="Times New Roman" w:hAnsi="Times New Roman" w:cs="Times New Roman"/>
          <w:color w:val="333333"/>
          <w:sz w:val="24"/>
          <w:szCs w:val="24"/>
        </w:rPr>
        <w:t>decidibilidade</w:t>
      </w:r>
      <w:proofErr w:type="spellEnd"/>
      <w:r w:rsidRPr="00395506">
        <w:rPr>
          <w:rFonts w:ascii="Times New Roman" w:hAnsi="Times New Roman" w:cs="Times New Roman"/>
          <w:color w:val="333333"/>
          <w:sz w:val="24"/>
          <w:szCs w:val="24"/>
        </w:rPr>
        <w:t xml:space="preserve"> e tutela do direito pelo processo, em flagrante violação de direitos fundamentais do acusado, mormente o de acesso ao direito</w:t>
      </w:r>
      <w:r w:rsidR="00562275">
        <w:rPr>
          <w:rFonts w:ascii="Times New Roman" w:hAnsi="Times New Roman" w:cs="Times New Roman"/>
          <w:color w:val="333333"/>
          <w:sz w:val="24"/>
          <w:szCs w:val="24"/>
        </w:rPr>
        <w:t xml:space="preserve">, que está devidamente previsto e assegura pela Constituição Federal, em seu artigo 5º, </w:t>
      </w:r>
      <w:r w:rsidRPr="00395506">
        <w:rPr>
          <w:rFonts w:ascii="Times New Roman" w:hAnsi="Times New Roman" w:cs="Times New Roman"/>
          <w:color w:val="333333"/>
          <w:sz w:val="24"/>
          <w:szCs w:val="24"/>
        </w:rPr>
        <w:t>XXXV</w:t>
      </w:r>
      <w:r w:rsidR="0056227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C33F2" w:rsidRDefault="001C33F2" w:rsidP="0085227C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Ao final, quando proferida e publicada decisão final, os autos deverão ser remetidos imediatamente, no prazo de cinco dias, do tribunal </w:t>
      </w:r>
      <w:r w:rsidRPr="00C8224C">
        <w:rPr>
          <w:rFonts w:ascii="Times New Roman" w:hAnsi="Times New Roman" w:cs="Times New Roman"/>
          <w:i/>
          <w:sz w:val="24"/>
          <w:szCs w:val="24"/>
        </w:rPr>
        <w:t xml:space="preserve">ad quem </w:t>
      </w:r>
      <w:r w:rsidRPr="00C8224C">
        <w:rPr>
          <w:rFonts w:ascii="Times New Roman" w:hAnsi="Times New Roman" w:cs="Times New Roman"/>
          <w:sz w:val="24"/>
          <w:szCs w:val="24"/>
        </w:rPr>
        <w:t xml:space="preserve">para o juízo </w:t>
      </w:r>
      <w:r w:rsidRPr="00C8224C">
        <w:rPr>
          <w:rFonts w:ascii="Times New Roman" w:hAnsi="Times New Roman" w:cs="Times New Roman"/>
          <w:i/>
          <w:sz w:val="24"/>
          <w:szCs w:val="24"/>
        </w:rPr>
        <w:t>a quo.</w:t>
      </w:r>
    </w:p>
    <w:p w:rsidR="00F66016" w:rsidRDefault="00F66016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tange aos efeitos, recurso em sentido estrito terá efeito suspensivo nos casos em que houver a perda da fiança, denegação, deserção da apelação e decisão que considerar quebrada a fiança, sendo esta última cabível somente na modalidade atinente à </w:t>
      </w:r>
      <w:r>
        <w:rPr>
          <w:rFonts w:ascii="Times New Roman" w:hAnsi="Times New Roman" w:cs="Times New Roman"/>
          <w:sz w:val="24"/>
          <w:szCs w:val="24"/>
        </w:rPr>
        <w:lastRenderedPageBreak/>
        <w:t>perda da metade do valor, conforme disposição fundamentada no artigo 581, VII, primeira parte, do Código de Processo Penal.</w:t>
      </w:r>
    </w:p>
    <w:p w:rsidR="00197514" w:rsidRDefault="0019751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doutrinadores Fernando Capez e Júlio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Fabrbrini</w:t>
      </w:r>
      <w:proofErr w:type="spellEnd"/>
      <w:r w:rsidR="00611B90">
        <w:rPr>
          <w:rFonts w:ascii="Times New Roman" w:hAnsi="Times New Roman" w:cs="Times New Roman"/>
          <w:sz w:val="24"/>
          <w:szCs w:val="24"/>
        </w:rPr>
        <w:t xml:space="preserve"> argumentam o efeito suspensivo no recurso em sentido estrito, em relação aos casos de pronúncia, no entanto, na impronúncia, da decisão que declarar extinta a punibilidade (não impedindo que o réu seja colocado em liberdade), e nos casos de desclassificação de crime doloso contra a vida para outro que seja de competência de juiz singular.</w:t>
      </w:r>
      <w:proofErr w:type="gramStart"/>
      <w:r w:rsidR="00611B90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proofErr w:type="gramEnd"/>
    </w:p>
    <w:p w:rsidR="00FC1659" w:rsidRDefault="00FC1659" w:rsidP="0085227C">
      <w:pPr>
        <w:spacing w:line="360" w:lineRule="auto"/>
        <w:ind w:firstLine="113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FC165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No caso da extinção da punibilidade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esta</w:t>
      </w:r>
      <w:r w:rsidRPr="00FC165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pode ocorrer antes, durante o processo e após o trânsito em julgado da sentença penal condenatória.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Caso ocorra</w:t>
      </w:r>
      <w:r w:rsidRPr="00FC165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após o trânsito em julgado e durante a execução da pena, cabe agravo em execução da decisão que não a reconhecer. </w:t>
      </w:r>
    </w:p>
    <w:p w:rsidR="00FC1659" w:rsidRDefault="00FC1659" w:rsidP="0085227C">
      <w:pPr>
        <w:spacing w:line="360" w:lineRule="auto"/>
        <w:ind w:firstLine="113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No entanto, se</w:t>
      </w:r>
      <w:r w:rsidRPr="00FC165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a extinção da punibilidade acontecer durante o processo, será cabível recurso em sentido estrito. Se ocorrer a extinção da punibilidade e esta não for reconhecida na sentença, desta decisão cabe apelação. Então é isso que tem que ser observado: o momento em que ocorreu a extinção da punibilidade.</w:t>
      </w:r>
    </w:p>
    <w:p w:rsidR="001D5376" w:rsidRPr="00FC1659" w:rsidRDefault="001D5376" w:rsidP="0085227C">
      <w:pPr>
        <w:spacing w:line="360" w:lineRule="auto"/>
        <w:ind w:firstLine="113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Logo, é essencial que se conheça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todos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requisitos, bem como exceções adequáveis a cada caso concreto, sob pena de perda da pretensão punitiva, bem como impossibilidade de reversão de decisão desfavorável ao acusado.</w:t>
      </w:r>
    </w:p>
    <w:p w:rsidR="00354E9C" w:rsidRDefault="00354E9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42B6" w:rsidRPr="0053358F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2.3 D</w:t>
      </w:r>
      <w:r>
        <w:rPr>
          <w:rFonts w:ascii="Times New Roman" w:hAnsi="Times New Roman" w:cs="Times New Roman"/>
          <w:b/>
          <w:sz w:val="28"/>
          <w:szCs w:val="28"/>
        </w:rPr>
        <w:t>o rol taxativo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42B6" w:rsidRPr="00C8224C" w:rsidRDefault="003C42B6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Pela análise no disposto do artigo 581, denota-se que o rol não se refere apenas a decisões interlocutórias de natureza mista, uma vez que estão inclusos despachos e sentenças.</w:t>
      </w:r>
    </w:p>
    <w:p w:rsidR="003C42B6" w:rsidRDefault="003C42B6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Desta forma, denota-se que sua taxatividade pode ser comprovada</w:t>
      </w:r>
      <w:r w:rsidR="0088340E" w:rsidRPr="00C8224C">
        <w:rPr>
          <w:rFonts w:ascii="Times New Roman" w:hAnsi="Times New Roman" w:cs="Times New Roman"/>
          <w:sz w:val="24"/>
          <w:szCs w:val="24"/>
        </w:rPr>
        <w:t>, pois</w:t>
      </w:r>
      <w:r w:rsidRPr="00C8224C">
        <w:rPr>
          <w:rFonts w:ascii="Times New Roman" w:hAnsi="Times New Roman" w:cs="Times New Roman"/>
          <w:sz w:val="24"/>
          <w:szCs w:val="24"/>
        </w:rPr>
        <w:t>, em consonância com o princípio da taxatividade, os recursos devem estar previstos expressamente em lei, e, deste modo, somente a lei poderá dizer qual recurso cabível para cada caso em contrato.</w:t>
      </w:r>
    </w:p>
    <w:p w:rsidR="00D2372D" w:rsidRPr="00C8224C" w:rsidRDefault="00D2372D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372D">
        <w:rPr>
          <w:rFonts w:ascii="Times New Roman" w:hAnsi="Times New Roman" w:cs="Times New Roman"/>
          <w:sz w:val="24"/>
          <w:szCs w:val="24"/>
        </w:rPr>
        <w:lastRenderedPageBreak/>
        <w:t xml:space="preserve">Nesse sentido, esclarece Mirabete </w:t>
      </w:r>
      <w:r w:rsidR="00F75FAE">
        <w:rPr>
          <w:rFonts w:ascii="Times New Roman" w:hAnsi="Times New Roman" w:cs="Times New Roman"/>
          <w:sz w:val="24"/>
          <w:szCs w:val="24"/>
        </w:rPr>
        <w:t>que</w:t>
      </w:r>
      <w:r w:rsidRPr="00D2372D">
        <w:rPr>
          <w:rFonts w:ascii="Times New Roman" w:hAnsi="Times New Roman" w:cs="Times New Roman"/>
          <w:sz w:val="24"/>
          <w:szCs w:val="24"/>
        </w:rPr>
        <w:t xml:space="preserve"> "</w:t>
      </w:r>
      <w:r w:rsidRPr="00D2372D">
        <w:rPr>
          <w:rFonts w:ascii="Times New Roman" w:hAnsi="Times New Roman" w:cs="Times New Roman"/>
          <w:iCs/>
          <w:sz w:val="24"/>
          <w:szCs w:val="24"/>
        </w:rPr>
        <w:t xml:space="preserve">O indeferimento de exame pericial ou sua renovação não é constrangimento ilegal e não comporta recurso. Só pode ser desfeito pela via de </w:t>
      </w:r>
      <w:r w:rsidRPr="00D02CDF">
        <w:rPr>
          <w:rFonts w:ascii="Times New Roman" w:hAnsi="Times New Roman" w:cs="Times New Roman"/>
          <w:sz w:val="24"/>
          <w:szCs w:val="24"/>
        </w:rPr>
        <w:t>reconsideração ou de mandado de segurança, se presentes seus requisitos</w:t>
      </w:r>
      <w:r w:rsidRPr="00D2372D">
        <w:rPr>
          <w:rFonts w:ascii="Times New Roman" w:hAnsi="Times New Roman" w:cs="Times New Roman"/>
          <w:sz w:val="24"/>
          <w:szCs w:val="24"/>
        </w:rPr>
        <w:t>."</w:t>
      </w:r>
      <w:r w:rsidR="00FE3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38B5" w:rsidRPr="00D02CDF">
        <w:footnoteReference w:id="5"/>
      </w:r>
      <w:proofErr w:type="gramEnd"/>
    </w:p>
    <w:p w:rsidR="000162F5" w:rsidRPr="00C8224C" w:rsidRDefault="000162F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Por uma análise mais aprofundada, não se pode olvidar, que pelo requisito extrínseco do juízo de admissibilidade, a lei autoriza a impugnação de determinada decisão por quais sejam os recursos ou, no entanto, para este, ela aborda que o recurso em sentido estrito só será cabível nos casos em que estiverem previsto no rol do art. 581.</w:t>
      </w:r>
    </w:p>
    <w:p w:rsidR="00D02CDF" w:rsidRDefault="00D02CDF" w:rsidP="00D02CD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artigo</w:t>
      </w:r>
      <w:r w:rsidRPr="00D02CDF">
        <w:rPr>
          <w:rFonts w:ascii="Times New Roman" w:hAnsi="Times New Roman" w:cs="Times New Roman"/>
          <w:sz w:val="24"/>
          <w:szCs w:val="24"/>
        </w:rPr>
        <w:t xml:space="preserve"> restringe, sobremaneira, o direito à defesa, na medida em que define quais provimentos jurisdicionais poderão ser reexaminados, mediante provocação da parte. </w:t>
      </w:r>
    </w:p>
    <w:p w:rsidR="00D02CDF" w:rsidRPr="00D02CDF" w:rsidRDefault="00D02CDF" w:rsidP="00D02CD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Nessa linha de pensamento, </w:t>
      </w:r>
      <w:r w:rsidRPr="00D02CDF">
        <w:rPr>
          <w:rFonts w:ascii="Times New Roman" w:hAnsi="Times New Roman" w:cs="Times New Roman"/>
          <w:sz w:val="24"/>
          <w:szCs w:val="24"/>
        </w:rPr>
        <w:t>Machado</w:t>
      </w:r>
      <w:r>
        <w:rPr>
          <w:rFonts w:ascii="Times New Roman" w:hAnsi="Times New Roman" w:cs="Times New Roman"/>
          <w:sz w:val="24"/>
          <w:szCs w:val="24"/>
        </w:rPr>
        <w:t xml:space="preserve"> preceitua</w:t>
      </w:r>
      <w:r w:rsidRPr="00D02CDF">
        <w:rPr>
          <w:rFonts w:ascii="Times New Roman" w:hAnsi="Times New Roman" w:cs="Times New Roman"/>
          <w:sz w:val="24"/>
          <w:szCs w:val="24"/>
        </w:rPr>
        <w:t>:</w:t>
      </w:r>
    </w:p>
    <w:p w:rsidR="00D02CDF" w:rsidRPr="00D02CDF" w:rsidRDefault="006D56BA" w:rsidP="006D56BA">
      <w:pPr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02CDF" w:rsidRPr="00D02CDF">
        <w:rPr>
          <w:rFonts w:ascii="Times New Roman" w:hAnsi="Times New Roman" w:cs="Times New Roman"/>
          <w:sz w:val="24"/>
          <w:szCs w:val="24"/>
        </w:rPr>
        <w:t>Como a própria nomenclatura já revela, o recurso em sentido estrito se destina à impugnação de decisões que se referem a apenas alguns aspectos do processo e não à totalidade da causa. De modo que, por meio desse recurso, não há a possibilidade de reexame de todas as questões de direito e de fato que compõem a lide penal. [...] O recurso </w:t>
      </w:r>
      <w:r w:rsidR="00D02CDF" w:rsidRPr="00D02CDF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="00D02CDF" w:rsidRPr="00D02CDF">
        <w:rPr>
          <w:rFonts w:ascii="Times New Roman" w:hAnsi="Times New Roman" w:cs="Times New Roman"/>
          <w:sz w:val="24"/>
          <w:szCs w:val="24"/>
        </w:rPr>
        <w:t xml:space="preserve">, basicamente, destina-se à revisão das decisões interlocutórias, mais ou menos nos moldes do que ocorre com o agravo de instrumento no processo civil. Como os despachos de expediente são irrecorríveis, e as sentenças definitivas de mérito, que absolvem ou condenam o réu, são objeto do recurso de apelação, as decisões interlocutórias, simples ou mistas, é que são mesmo, em regra impugnáveis por meio do recurso em sentido estrito. [...] As hipóteses em que é cabível o </w:t>
      </w:r>
      <w:proofErr w:type="spellStart"/>
      <w:r w:rsidR="00D02CDF" w:rsidRPr="00D02CDF">
        <w:rPr>
          <w:rFonts w:ascii="Times New Roman" w:hAnsi="Times New Roman" w:cs="Times New Roman"/>
          <w:sz w:val="24"/>
          <w:szCs w:val="24"/>
        </w:rPr>
        <w:t>recurso</w:t>
      </w:r>
      <w:r w:rsidR="00D02CDF" w:rsidRPr="00D02CDF">
        <w:rPr>
          <w:rFonts w:ascii="Times New Roman" w:hAnsi="Times New Roman" w:cs="Times New Roman"/>
          <w:i/>
          <w:iCs/>
          <w:sz w:val="24"/>
          <w:szCs w:val="24"/>
        </w:rPr>
        <w:t>stricto</w:t>
      </w:r>
      <w:proofErr w:type="spellEnd"/>
      <w:r w:rsidR="00D02CDF" w:rsidRPr="00D02CDF">
        <w:rPr>
          <w:rFonts w:ascii="Times New Roman" w:hAnsi="Times New Roman" w:cs="Times New Roman"/>
          <w:i/>
          <w:iCs/>
          <w:sz w:val="24"/>
          <w:szCs w:val="24"/>
        </w:rPr>
        <w:t xml:space="preserve"> sensu</w:t>
      </w:r>
      <w:r w:rsidR="00D02CDF" w:rsidRPr="00D02CDF">
        <w:rPr>
          <w:rFonts w:ascii="Times New Roman" w:hAnsi="Times New Roman" w:cs="Times New Roman"/>
          <w:sz w:val="24"/>
          <w:szCs w:val="24"/>
        </w:rPr>
        <w:t> estão elencadas no art. 581 do CPP e entende-se que o rol desse artigo é taxativo.</w:t>
      </w:r>
      <w:proofErr w:type="gramStart"/>
      <w:r w:rsidR="00EF0BD7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EF0BD7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0162F5" w:rsidRPr="00C8224C" w:rsidRDefault="000162F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E mais, caso o legislador almejasse que as decisões fossem impugnadas por outros recursos, não haveria motivos para elencar 24 (vinte e quatro) possibilidades</w:t>
      </w:r>
      <w:r w:rsidR="00C56C0C" w:rsidRPr="00C8224C">
        <w:rPr>
          <w:rFonts w:ascii="Times New Roman" w:hAnsi="Times New Roman" w:cs="Times New Roman"/>
          <w:sz w:val="24"/>
          <w:szCs w:val="24"/>
        </w:rPr>
        <w:t xml:space="preserve"> expressamente previstas.</w:t>
      </w:r>
    </w:p>
    <w:p w:rsidR="000321C2" w:rsidRDefault="00767E7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entanto, há que se verificar a possibilidade desse recurso nos casos de leis extravagantes, como por exemplo, na Lei 505/51, art. 6° § único</w:t>
      </w:r>
      <w:r w:rsidR="000321C2">
        <w:rPr>
          <w:rFonts w:ascii="Times New Roman" w:hAnsi="Times New Roman" w:cs="Times New Roman"/>
          <w:sz w:val="24"/>
          <w:szCs w:val="24"/>
        </w:rPr>
        <w:t>, que regula as contravenções penais, tais como jogo do bicho e apostas de corridas de cavalos</w:t>
      </w:r>
      <w:r w:rsidR="009B15D8">
        <w:rPr>
          <w:rFonts w:ascii="Times New Roman" w:hAnsi="Times New Roman" w:cs="Times New Roman"/>
          <w:sz w:val="24"/>
          <w:szCs w:val="24"/>
        </w:rPr>
        <w:t>, nos termos da Lei 5250/67, art. 44 §2° (Lei de Imprensa – contra decisões que recebem denúncia ou queixa)</w:t>
      </w:r>
      <w:r w:rsidR="000321C2">
        <w:rPr>
          <w:rFonts w:ascii="Times New Roman" w:hAnsi="Times New Roman" w:cs="Times New Roman"/>
          <w:sz w:val="24"/>
          <w:szCs w:val="24"/>
        </w:rPr>
        <w:t>.</w:t>
      </w:r>
    </w:p>
    <w:p w:rsidR="00C56C0C" w:rsidRPr="00C8224C" w:rsidRDefault="00C56C0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Assim, não pairam dúvidas acerca da taxatividade do rol de hipóteses previstas no artigo 581, uma vez que este é preciso, não podendo ser elencadas quaisquer outras hipóteses.</w:t>
      </w:r>
    </w:p>
    <w:p w:rsidR="00354E9C" w:rsidRDefault="00354E9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E14AE4" w:rsidRPr="0053358F" w:rsidRDefault="00E14AE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3358F">
        <w:rPr>
          <w:rFonts w:ascii="Times New Roman" w:hAnsi="Times New Roman" w:cs="Times New Roman"/>
          <w:b/>
          <w:caps/>
          <w:sz w:val="28"/>
          <w:szCs w:val="28"/>
        </w:rPr>
        <w:t>2.4</w:t>
      </w:r>
      <w:r w:rsidR="0053358F" w:rsidRPr="005335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58F">
        <w:rPr>
          <w:rFonts w:ascii="Times New Roman" w:hAnsi="Times New Roman" w:cs="Times New Roman"/>
          <w:b/>
          <w:sz w:val="28"/>
          <w:szCs w:val="28"/>
        </w:rPr>
        <w:t>D</w:t>
      </w:r>
      <w:r w:rsidR="0053358F" w:rsidRPr="0053358F">
        <w:rPr>
          <w:rFonts w:ascii="Times New Roman" w:hAnsi="Times New Roman" w:cs="Times New Roman"/>
          <w:b/>
          <w:sz w:val="28"/>
          <w:szCs w:val="28"/>
        </w:rPr>
        <w:t>o cabimento e principais exceções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4AE4" w:rsidRPr="00C8224C" w:rsidRDefault="00E14AE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Atualmente, o RSE somente é cabível das decisões previstas nos incisos I, II, III, IV (alterado pela Lei 11689/08), V, VII, VIII, IX, X, a XVI e XVIII, do artigo 581, do Código de Processo Penal.</w:t>
      </w:r>
    </w:p>
    <w:p w:rsidR="00D05625" w:rsidRPr="00C8224C" w:rsidRDefault="00D0562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Assim, pela análise dos incisos a seguir, </w:t>
      </w:r>
      <w:r w:rsidR="00434486" w:rsidRPr="00C8224C">
        <w:rPr>
          <w:rFonts w:ascii="Times New Roman" w:hAnsi="Times New Roman" w:cs="Times New Roman"/>
          <w:sz w:val="24"/>
          <w:szCs w:val="24"/>
        </w:rPr>
        <w:t>analisa-se</w:t>
      </w:r>
      <w:r w:rsidRPr="00C8224C">
        <w:rPr>
          <w:rFonts w:ascii="Times New Roman" w:hAnsi="Times New Roman" w:cs="Times New Roman"/>
          <w:sz w:val="24"/>
          <w:szCs w:val="24"/>
        </w:rPr>
        <w:t xml:space="preserve"> em apartado cada exceção que deverá ser aplicada ao rol do artigo. 581.</w:t>
      </w:r>
    </w:p>
    <w:p w:rsidR="00C8463A" w:rsidRDefault="00C8463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Cumpre salientar, que os incisos abordados a seguir não estão em vigor, uma vez que foram devidamente revogados, pelas razões e fundamentos expostos a seguir.</w:t>
      </w:r>
    </w:p>
    <w:p w:rsidR="00E56B43" w:rsidRDefault="00E56B43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sendo, urge reconhecer, </w:t>
      </w:r>
      <w:proofErr w:type="gramStart"/>
      <w:r>
        <w:rPr>
          <w:rFonts w:ascii="Times New Roman" w:hAnsi="Times New Roman" w:cs="Times New Roman"/>
          <w:sz w:val="24"/>
          <w:szCs w:val="24"/>
        </w:rPr>
        <w:t>a notaria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importância ao existir a possibilidade do acusado recorrer da decisão, sob pena de auferir seus princípios e direitos constitucionais garantidos após longos anos de luta.</w:t>
      </w:r>
    </w:p>
    <w:p w:rsidR="00E56B43" w:rsidRPr="009F2278" w:rsidRDefault="00E56B43" w:rsidP="0085227C">
      <w:pPr>
        <w:tabs>
          <w:tab w:val="left" w:leader="dot" w:pos="8789"/>
        </w:tabs>
        <w:spacing w:line="360" w:lineRule="auto"/>
        <w:ind w:left="851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278">
        <w:rPr>
          <w:rFonts w:ascii="Times New Roman" w:hAnsi="Times New Roman" w:cs="Times New Roman"/>
          <w:color w:val="000000" w:themeColor="text1"/>
          <w:sz w:val="24"/>
          <w:szCs w:val="24"/>
        </w:rPr>
        <w:t>Na mesma linha de raciocínio: Bento de Faria preceitua:</w:t>
      </w:r>
    </w:p>
    <w:p w:rsidR="00E56B43" w:rsidRPr="00C8224C" w:rsidRDefault="00E56B43" w:rsidP="0085227C">
      <w:pPr>
        <w:spacing w:line="36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42488">
        <w:rPr>
          <w:rFonts w:ascii="Times New Roman" w:hAnsi="Times New Roman" w:cs="Times New Roman"/>
          <w:color w:val="000000" w:themeColor="text1"/>
        </w:rPr>
        <w:t xml:space="preserve">“... o interesse da ordem pública é sempre permanente para manter a paz e a tranquilidade, prevenindo as agitações do povo, as desordens ou conflitos determinados pelas paixões, sejam ou não </w:t>
      </w:r>
      <w:proofErr w:type="spellStart"/>
      <w:proofErr w:type="gramStart"/>
      <w:r w:rsidRPr="00442488">
        <w:rPr>
          <w:rFonts w:ascii="Times New Roman" w:hAnsi="Times New Roman" w:cs="Times New Roman"/>
          <w:color w:val="000000" w:themeColor="text1"/>
        </w:rPr>
        <w:t>políticas.</w:t>
      </w:r>
      <w:proofErr w:type="gramEnd"/>
      <w:r w:rsidRPr="00442488">
        <w:rPr>
          <w:rFonts w:ascii="Times New Roman" w:hAnsi="Times New Roman" w:cs="Times New Roman"/>
          <w:i/>
          <w:color w:val="000000" w:themeColor="text1"/>
        </w:rPr>
        <w:t>v.g.,</w:t>
      </w:r>
      <w:r w:rsidRPr="00442488">
        <w:rPr>
          <w:rFonts w:ascii="Times New Roman" w:hAnsi="Times New Roman" w:cs="Times New Roman"/>
          <w:color w:val="000000" w:themeColor="text1"/>
        </w:rPr>
        <w:t>pela</w:t>
      </w:r>
      <w:proofErr w:type="spellEnd"/>
      <w:r w:rsidRPr="00442488">
        <w:rPr>
          <w:rFonts w:ascii="Times New Roman" w:hAnsi="Times New Roman" w:cs="Times New Roman"/>
          <w:color w:val="000000" w:themeColor="text1"/>
        </w:rPr>
        <w:t xml:space="preserve"> crueldade do acusado, pela extensão do crime, pela hediondez. São causas que excitam os ânimos e provocam alterações da ordem pública. Mas, esse receio sobre ser fundado deve ter consideração a possibilidade de acontecimentos de </w:t>
      </w:r>
      <w:r w:rsidRPr="00442488">
        <w:rPr>
          <w:rFonts w:ascii="Times New Roman" w:hAnsi="Times New Roman" w:cs="Times New Roman"/>
          <w:color w:val="000000" w:themeColor="text1"/>
        </w:rPr>
        <w:lastRenderedPageBreak/>
        <w:t xml:space="preserve">tal vulto, sem </w:t>
      </w:r>
      <w:r w:rsidRPr="00442488">
        <w:rPr>
          <w:rFonts w:ascii="Times New Roman" w:hAnsi="Times New Roman" w:cs="Times New Roman"/>
          <w:i/>
          <w:color w:val="000000" w:themeColor="text1"/>
        </w:rPr>
        <w:t xml:space="preserve">perturbações </w:t>
      </w:r>
      <w:proofErr w:type="spellStart"/>
      <w:r w:rsidRPr="00442488">
        <w:rPr>
          <w:rFonts w:ascii="Times New Roman" w:hAnsi="Times New Roman" w:cs="Times New Roman"/>
          <w:i/>
          <w:color w:val="000000" w:themeColor="text1"/>
        </w:rPr>
        <w:t>generalizadas.</w:t>
      </w:r>
      <w:r w:rsidRPr="00442488">
        <w:rPr>
          <w:rFonts w:ascii="Times New Roman" w:hAnsi="Times New Roman" w:cs="Times New Roman"/>
          <w:color w:val="000000" w:themeColor="text1"/>
        </w:rPr>
        <w:t>Não</w:t>
      </w:r>
      <w:proofErr w:type="spellEnd"/>
      <w:r w:rsidRPr="00442488">
        <w:rPr>
          <w:rFonts w:ascii="Times New Roman" w:hAnsi="Times New Roman" w:cs="Times New Roman"/>
          <w:color w:val="000000" w:themeColor="text1"/>
        </w:rPr>
        <w:t xml:space="preserve"> basta, portanto, o simples </w:t>
      </w:r>
      <w:r w:rsidRPr="00442488">
        <w:rPr>
          <w:rFonts w:ascii="Times New Roman" w:hAnsi="Times New Roman" w:cs="Times New Roman"/>
          <w:i/>
          <w:color w:val="000000" w:themeColor="text1"/>
        </w:rPr>
        <w:t>medo</w:t>
      </w:r>
      <w:r w:rsidRPr="00442488">
        <w:rPr>
          <w:rFonts w:ascii="Times New Roman" w:hAnsi="Times New Roman" w:cs="Times New Roman"/>
          <w:color w:val="000000" w:themeColor="text1"/>
        </w:rPr>
        <w:t xml:space="preserve">, que por muitas vezes, para os espíritos fracos, cria perigos inexistentes”. </w:t>
      </w:r>
      <w:r w:rsidR="0044441D">
        <w:rPr>
          <w:rStyle w:val="Refdenotaderodap"/>
          <w:rFonts w:ascii="Times New Roman" w:hAnsi="Times New Roman" w:cs="Times New Roman"/>
          <w:color w:val="000000" w:themeColor="text1"/>
        </w:rPr>
        <w:footnoteReference w:id="7"/>
      </w:r>
    </w:p>
    <w:p w:rsidR="009F2278" w:rsidRPr="009F2278" w:rsidRDefault="009F2278" w:rsidP="0085227C">
      <w:pPr>
        <w:tabs>
          <w:tab w:val="left" w:leader="dot" w:pos="8789"/>
        </w:tabs>
        <w:spacing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não se pode </w:t>
      </w:r>
      <w:proofErr w:type="gramStart"/>
      <w:r w:rsidRPr="009F2278">
        <w:rPr>
          <w:rFonts w:ascii="Times New Roman" w:hAnsi="Times New Roman" w:cs="Times New Roman"/>
          <w:color w:val="000000" w:themeColor="text1"/>
          <w:sz w:val="24"/>
          <w:szCs w:val="24"/>
        </w:rPr>
        <w:t>olvidar,</w:t>
      </w:r>
      <w:proofErr w:type="gramEnd"/>
      <w:r w:rsidRPr="009F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para aplicação deste requisito, é preciso analisar com precisão as reais causas que possam ser de interesse de ordem pública, garantindo assim, que o deslocamento não ocorra desnecessariamente, e, por conseguinte, evitando o </w:t>
      </w:r>
      <w:proofErr w:type="spellStart"/>
      <w:r w:rsidRPr="009F2278">
        <w:rPr>
          <w:rFonts w:ascii="Times New Roman" w:hAnsi="Times New Roman" w:cs="Times New Roman"/>
          <w:color w:val="000000" w:themeColor="text1"/>
          <w:sz w:val="24"/>
          <w:szCs w:val="24"/>
        </w:rPr>
        <w:t>auferimento</w:t>
      </w:r>
      <w:proofErr w:type="spellEnd"/>
      <w:r w:rsidRPr="009F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</w:t>
      </w:r>
      <w:r w:rsidRPr="009F227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princípio do juiz natural.</w:t>
      </w:r>
      <w:r w:rsidR="00D02193">
        <w:rPr>
          <w:rStyle w:val="Refdenotaderodap"/>
          <w:rFonts w:ascii="Times New Roman" w:hAnsi="Times New Roman" w:cs="Times New Roman"/>
          <w:color w:val="1D1B11" w:themeColor="background2" w:themeShade="1A"/>
          <w:sz w:val="24"/>
          <w:szCs w:val="24"/>
        </w:rPr>
        <w:footnoteReference w:id="8"/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625" w:rsidRPr="0053358F" w:rsidRDefault="00D0562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3358F">
        <w:rPr>
          <w:rFonts w:ascii="Times New Roman" w:hAnsi="Times New Roman" w:cs="Times New Roman"/>
          <w:b/>
          <w:caps/>
          <w:sz w:val="28"/>
          <w:szCs w:val="28"/>
        </w:rPr>
        <w:t>2.41</w:t>
      </w:r>
      <w:r w:rsidR="005335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58F">
        <w:rPr>
          <w:rFonts w:ascii="Times New Roman" w:hAnsi="Times New Roman" w:cs="Times New Roman"/>
          <w:b/>
          <w:sz w:val="28"/>
          <w:szCs w:val="28"/>
        </w:rPr>
        <w:t>D</w:t>
      </w:r>
      <w:r w:rsidR="0053358F" w:rsidRPr="0053358F">
        <w:rPr>
          <w:rFonts w:ascii="Times New Roman" w:hAnsi="Times New Roman" w:cs="Times New Roman"/>
          <w:b/>
          <w:sz w:val="28"/>
          <w:szCs w:val="28"/>
        </w:rPr>
        <w:t xml:space="preserve">a decisão que </w:t>
      </w:r>
      <w:proofErr w:type="gramStart"/>
      <w:r w:rsidR="0053358F" w:rsidRPr="0053358F">
        <w:rPr>
          <w:rFonts w:ascii="Times New Roman" w:hAnsi="Times New Roman" w:cs="Times New Roman"/>
          <w:b/>
          <w:sz w:val="28"/>
          <w:szCs w:val="28"/>
        </w:rPr>
        <w:t>conceder,</w:t>
      </w:r>
      <w:proofErr w:type="gramEnd"/>
      <w:r w:rsidR="0053358F" w:rsidRPr="0053358F">
        <w:rPr>
          <w:rFonts w:ascii="Times New Roman" w:hAnsi="Times New Roman" w:cs="Times New Roman"/>
          <w:b/>
          <w:sz w:val="28"/>
          <w:szCs w:val="28"/>
        </w:rPr>
        <w:t xml:space="preserve"> negar ou revogar </w:t>
      </w:r>
      <w:r w:rsidR="0053358F">
        <w:rPr>
          <w:rFonts w:ascii="Times New Roman" w:hAnsi="Times New Roman" w:cs="Times New Roman"/>
          <w:b/>
          <w:sz w:val="28"/>
          <w:szCs w:val="28"/>
        </w:rPr>
        <w:t>a suspensão condicional da pena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7654" w:rsidRPr="00C8224C" w:rsidRDefault="00D37654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Cumpre esclarecer, que a Lei de Execução Penal, Lei nº. 7210/84</w:t>
      </w:r>
      <w:r w:rsidR="00B420E2" w:rsidRPr="00C8224C">
        <w:rPr>
          <w:rFonts w:ascii="Times New Roman" w:hAnsi="Times New Roman" w:cs="Times New Roman"/>
          <w:sz w:val="24"/>
          <w:szCs w:val="24"/>
        </w:rPr>
        <w:t xml:space="preserve"> limitou</w:t>
      </w:r>
      <w:r w:rsidRPr="00C8224C">
        <w:rPr>
          <w:rFonts w:ascii="Times New Roman" w:hAnsi="Times New Roman" w:cs="Times New Roman"/>
          <w:sz w:val="24"/>
          <w:szCs w:val="24"/>
        </w:rPr>
        <w:t xml:space="preserve"> o rol de hipóteses e cabimento</w:t>
      </w:r>
      <w:r w:rsidR="00377ACA" w:rsidRPr="00C8224C">
        <w:rPr>
          <w:rFonts w:ascii="Times New Roman" w:hAnsi="Times New Roman" w:cs="Times New Roman"/>
          <w:sz w:val="24"/>
          <w:szCs w:val="24"/>
        </w:rPr>
        <w:t xml:space="preserve"> previstos no artigo 581, uma vez que estabeleceu o Agravo em Execução para as decisões proferidas em fase de execução</w:t>
      </w:r>
      <w:r w:rsidR="003E3E10" w:rsidRPr="00C8224C">
        <w:rPr>
          <w:rFonts w:ascii="Times New Roman" w:hAnsi="Times New Roman" w:cs="Times New Roman"/>
          <w:sz w:val="24"/>
          <w:szCs w:val="24"/>
        </w:rPr>
        <w:t xml:space="preserve"> da pena.</w:t>
      </w:r>
    </w:p>
    <w:p w:rsidR="00494477" w:rsidRPr="00C8224C" w:rsidRDefault="00CB275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Nesse caso em apreço, cumpre esclarecer, que a Lei de Execução Penal determina que o juiz, ao proferir a sentença com pena privativa de liberdade, deverá se manifestar motivadamente acerca da concessão ou não do </w:t>
      </w:r>
      <w:r w:rsidRPr="00C8224C">
        <w:rPr>
          <w:rFonts w:ascii="Times New Roman" w:hAnsi="Times New Roman" w:cs="Times New Roman"/>
          <w:i/>
          <w:sz w:val="24"/>
          <w:szCs w:val="24"/>
        </w:rPr>
        <w:t>sursis.</w:t>
      </w:r>
      <w:r w:rsidR="00324AD0" w:rsidRPr="00C82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AD0" w:rsidRPr="00C8224C">
        <w:rPr>
          <w:rFonts w:ascii="Times New Roman" w:hAnsi="Times New Roman" w:cs="Times New Roman"/>
          <w:sz w:val="24"/>
          <w:szCs w:val="24"/>
        </w:rPr>
        <w:t>Portanto, essa concessão ou não concessão, irá instaurar um processo de conhecimento, de modo que, ao publicar a sentença de mérito, haverá o cumprimento de sua função jurisdicional.</w:t>
      </w:r>
    </w:p>
    <w:p w:rsidR="007E4C69" w:rsidRPr="00C8224C" w:rsidRDefault="0049447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Desta forma, se o Ministério Público pretende impugnar a sentença, não caberá recurso em sentido estrito, mas sim, apelação. Isto porque, ocorrerá a aplicação do princípio da singularidade, não cabendo mais recurso em sentido estrito da decisão que concede ou não o </w:t>
      </w:r>
      <w:r w:rsidRPr="00C8224C">
        <w:rPr>
          <w:rFonts w:ascii="Times New Roman" w:hAnsi="Times New Roman" w:cs="Times New Roman"/>
          <w:i/>
          <w:sz w:val="24"/>
          <w:szCs w:val="24"/>
        </w:rPr>
        <w:t>sursis.</w:t>
      </w:r>
    </w:p>
    <w:p w:rsidR="00CB275F" w:rsidRPr="00C8224C" w:rsidRDefault="007E4C69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lastRenderedPageBreak/>
        <w:t>Logo, se este não foi concedido, e a sentença transitar em julgado, compete somente ao juiz da execução concedê-lo, ou ainda, revogá-lo, nos casos em que houver a concessão.</w:t>
      </w:r>
      <w:r w:rsidR="00EF14D8" w:rsidRPr="00C8224C">
        <w:rPr>
          <w:rFonts w:ascii="Times New Roman" w:hAnsi="Times New Roman" w:cs="Times New Roman"/>
          <w:sz w:val="24"/>
          <w:szCs w:val="24"/>
        </w:rPr>
        <w:t xml:space="preserve"> Essa exceção ocorreu com o advento do recurso de agravo, previsto no art. 66, III, </w:t>
      </w:r>
      <w:r w:rsidR="00EF14D8" w:rsidRPr="00C8224C">
        <w:rPr>
          <w:rFonts w:ascii="Times New Roman" w:hAnsi="Times New Roman" w:cs="Times New Roman"/>
          <w:i/>
          <w:sz w:val="24"/>
          <w:szCs w:val="24"/>
        </w:rPr>
        <w:t xml:space="preserve">d, </w:t>
      </w:r>
      <w:r w:rsidR="00EF14D8" w:rsidRPr="00C8224C">
        <w:rPr>
          <w:rFonts w:ascii="Times New Roman" w:hAnsi="Times New Roman" w:cs="Times New Roman"/>
          <w:sz w:val="24"/>
          <w:szCs w:val="24"/>
        </w:rPr>
        <w:t>c/c 197, da Lei de Execução Penal.</w:t>
      </w:r>
      <w:r w:rsidR="00CB275F" w:rsidRPr="00C82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486" w:rsidRPr="00C8224C" w:rsidRDefault="00434486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Ademais, pela análise no disposto da Súmula 700, STF, importante frisar acerca do prazo para</w:t>
      </w:r>
      <w:r w:rsidR="001F1A9E" w:rsidRPr="00C8224C">
        <w:rPr>
          <w:rFonts w:ascii="Times New Roman" w:hAnsi="Times New Roman" w:cs="Times New Roman"/>
          <w:sz w:val="24"/>
          <w:szCs w:val="24"/>
        </w:rPr>
        <w:t xml:space="preserve"> interposição do agravo, conforme vejamos:</w:t>
      </w:r>
    </w:p>
    <w:p w:rsidR="001F1A9E" w:rsidRPr="00C8224C" w:rsidRDefault="001F1A9E" w:rsidP="0085227C">
      <w:pPr>
        <w:spacing w:line="36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24C">
        <w:rPr>
          <w:rFonts w:ascii="Times New Roman" w:hAnsi="Times New Roman" w:cs="Times New Roman"/>
          <w:sz w:val="24"/>
          <w:szCs w:val="24"/>
        </w:rPr>
        <w:t>“Súmula 700 STF:</w:t>
      </w:r>
    </w:p>
    <w:p w:rsidR="001F1A9E" w:rsidRPr="00C8224C" w:rsidRDefault="001F1A9E" w:rsidP="0085227C">
      <w:pPr>
        <w:spacing w:line="36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É de cinco dias o prazo para interposição do agravo contra decisão do juiz da execução penal”</w:t>
      </w:r>
      <w:proofErr w:type="gramEnd"/>
      <w:r w:rsidRPr="00C8224C">
        <w:rPr>
          <w:rFonts w:ascii="Times New Roman" w:hAnsi="Times New Roman" w:cs="Times New Roman"/>
          <w:sz w:val="24"/>
          <w:szCs w:val="24"/>
        </w:rPr>
        <w:t>.</w:t>
      </w:r>
    </w:p>
    <w:p w:rsidR="002C60AC" w:rsidRPr="00C8224C" w:rsidRDefault="002C60A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Por conseguinte, é de suma importância aplicar em cada caso em concreto a exceção supramencionada, </w:t>
      </w:r>
      <w:proofErr w:type="gramStart"/>
      <w:r w:rsidRPr="00C8224C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C8224C">
        <w:rPr>
          <w:rFonts w:ascii="Times New Roman" w:hAnsi="Times New Roman" w:cs="Times New Roman"/>
          <w:sz w:val="24"/>
          <w:szCs w:val="24"/>
        </w:rPr>
        <w:t xml:space="preserve"> de não conhecimento </w:t>
      </w:r>
      <w:r w:rsidR="00A234D5" w:rsidRPr="00C8224C">
        <w:rPr>
          <w:rFonts w:ascii="Times New Roman" w:hAnsi="Times New Roman" w:cs="Times New Roman"/>
          <w:sz w:val="24"/>
          <w:szCs w:val="24"/>
        </w:rPr>
        <w:t>do recurso interposto pela ausência de previsão legal, bem como em rel</w:t>
      </w:r>
      <w:r w:rsidR="002D4B02" w:rsidRPr="00C8224C">
        <w:rPr>
          <w:rFonts w:ascii="Times New Roman" w:hAnsi="Times New Roman" w:cs="Times New Roman"/>
          <w:sz w:val="24"/>
          <w:szCs w:val="24"/>
        </w:rPr>
        <w:t>ação ao prazo para interposição, tendo em vista que ambos se divergem.</w:t>
      </w:r>
    </w:p>
    <w:p w:rsidR="00490BC7" w:rsidRDefault="00490BC7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625" w:rsidRPr="0053358F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2.42 D</w:t>
      </w:r>
      <w:r w:rsidRPr="0053358F">
        <w:rPr>
          <w:rFonts w:ascii="Times New Roman" w:hAnsi="Times New Roman" w:cs="Times New Roman"/>
          <w:b/>
          <w:sz w:val="28"/>
          <w:szCs w:val="28"/>
        </w:rPr>
        <w:t xml:space="preserve">a decisão que </w:t>
      </w:r>
      <w:proofErr w:type="gramStart"/>
      <w:r w:rsidRPr="0053358F">
        <w:rPr>
          <w:rFonts w:ascii="Times New Roman" w:hAnsi="Times New Roman" w:cs="Times New Roman"/>
          <w:b/>
          <w:sz w:val="28"/>
          <w:szCs w:val="28"/>
        </w:rPr>
        <w:t>conceder,</w:t>
      </w:r>
      <w:proofErr w:type="gramEnd"/>
      <w:r w:rsidRPr="0053358F">
        <w:rPr>
          <w:rFonts w:ascii="Times New Roman" w:hAnsi="Times New Roman" w:cs="Times New Roman"/>
          <w:b/>
          <w:sz w:val="28"/>
          <w:szCs w:val="28"/>
        </w:rPr>
        <w:t xml:space="preserve"> negar ou</w:t>
      </w:r>
      <w:r>
        <w:rPr>
          <w:rFonts w:ascii="Times New Roman" w:hAnsi="Times New Roman" w:cs="Times New Roman"/>
          <w:b/>
          <w:sz w:val="28"/>
          <w:szCs w:val="28"/>
        </w:rPr>
        <w:t xml:space="preserve"> revogar livramento condicional</w:t>
      </w:r>
    </w:p>
    <w:p w:rsidR="00354E9C" w:rsidRDefault="00354E9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05625" w:rsidRPr="00C8224C" w:rsidRDefault="00D8698D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O livramento condicional tange a forma de execução da pena privativa de liberdade que o condenado teria direito, contando que </w:t>
      </w:r>
      <w:r w:rsidR="0088340E" w:rsidRPr="00C8224C">
        <w:rPr>
          <w:rFonts w:ascii="Times New Roman" w:hAnsi="Times New Roman" w:cs="Times New Roman"/>
          <w:sz w:val="24"/>
          <w:szCs w:val="24"/>
        </w:rPr>
        <w:t>obedeça aos</w:t>
      </w:r>
      <w:r w:rsidRPr="00C8224C">
        <w:rPr>
          <w:rFonts w:ascii="Times New Roman" w:hAnsi="Times New Roman" w:cs="Times New Roman"/>
          <w:sz w:val="24"/>
          <w:szCs w:val="24"/>
        </w:rPr>
        <w:t xml:space="preserve"> requisitos previstos no art. 83, do Código Penal.</w:t>
      </w:r>
    </w:p>
    <w:p w:rsidR="003A1902" w:rsidRPr="00C8224C" w:rsidRDefault="003A1902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Por esta razão, é </w:t>
      </w:r>
      <w:r w:rsidR="009664AE" w:rsidRPr="00C8224C">
        <w:rPr>
          <w:rFonts w:ascii="Times New Roman" w:hAnsi="Times New Roman" w:cs="Times New Roman"/>
          <w:sz w:val="24"/>
          <w:szCs w:val="24"/>
        </w:rPr>
        <w:t>considerada</w:t>
      </w:r>
      <w:r w:rsidRPr="00C8224C">
        <w:rPr>
          <w:rFonts w:ascii="Times New Roman" w:hAnsi="Times New Roman" w:cs="Times New Roman"/>
          <w:sz w:val="24"/>
          <w:szCs w:val="24"/>
        </w:rPr>
        <w:t xml:space="preserve"> uma forma do acusado cumprir a pena alcançando sua liberdade, pois se refere a uma maneira de oferecer condições mais favoráveis de reintegração social do condenado, conforme disposto no ar</w:t>
      </w:r>
      <w:r w:rsidR="00F74B4F" w:rsidRPr="00C8224C">
        <w:rPr>
          <w:rFonts w:ascii="Times New Roman" w:hAnsi="Times New Roman" w:cs="Times New Roman"/>
          <w:sz w:val="24"/>
          <w:szCs w:val="24"/>
        </w:rPr>
        <w:t>t. 1º, da Lei de Execução Penal, vide pela teoria da ressocialização.</w:t>
      </w:r>
    </w:p>
    <w:p w:rsidR="00D8698D" w:rsidRPr="00C8224C" w:rsidRDefault="00D8698D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Portanto, aquele que cumpre a pena será o legitimado para o direito de livramento condicional, seja por meio de execução definitiva ou provisória.</w:t>
      </w:r>
      <w:r w:rsidR="007677FE" w:rsidRPr="00C8224C">
        <w:rPr>
          <w:rFonts w:ascii="Times New Roman" w:hAnsi="Times New Roman" w:cs="Times New Roman"/>
          <w:sz w:val="24"/>
          <w:szCs w:val="24"/>
        </w:rPr>
        <w:t xml:space="preserve"> Logo, a decisão a ser proferida pelo juiz da execução, passível de impugnação, deverá ser por meio de recurso de agravo, e não em sentido estrito.</w:t>
      </w:r>
    </w:p>
    <w:p w:rsidR="007677FE" w:rsidRPr="00C8224C" w:rsidRDefault="0053358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proofErr w:type="gramStart"/>
      <w:r w:rsidR="007677FE" w:rsidRPr="00C8224C">
        <w:rPr>
          <w:rFonts w:ascii="Times New Roman" w:hAnsi="Times New Roman" w:cs="Times New Roman"/>
          <w:b/>
          <w:sz w:val="28"/>
          <w:szCs w:val="28"/>
        </w:rPr>
        <w:t>2.43</w:t>
      </w:r>
      <w:r>
        <w:rPr>
          <w:rFonts w:ascii="Times New Roman" w:hAnsi="Times New Roman" w:cs="Times New Roman"/>
          <w:b/>
          <w:sz w:val="28"/>
          <w:szCs w:val="28"/>
        </w:rPr>
        <w:t xml:space="preserve"> Unificação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 pena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677FE" w:rsidRPr="00C8224C" w:rsidRDefault="007677F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No que tange a unificação de pena, com o advento da Lei de Execução Penal, o juiz da execução será o competente para apreciar o mérito da questão. Deste modo, imputa-se o cabimento exclusivo do recurso de agravo, não cabendo o recurso em sentido estrito.</w:t>
      </w:r>
    </w:p>
    <w:p w:rsidR="00E865E5" w:rsidRPr="00C8224C" w:rsidRDefault="00E865E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Assim, tal afirmativa pode ser fundamentada pelos dispostos no artigo 66m III, </w:t>
      </w:r>
      <w:r w:rsidRPr="00C8224C">
        <w:rPr>
          <w:rFonts w:ascii="Times New Roman" w:hAnsi="Times New Roman" w:cs="Times New Roman"/>
          <w:i/>
          <w:sz w:val="24"/>
          <w:szCs w:val="24"/>
        </w:rPr>
        <w:t xml:space="preserve">a, </w:t>
      </w:r>
      <w:r w:rsidRPr="00C8224C">
        <w:rPr>
          <w:rFonts w:ascii="Times New Roman" w:hAnsi="Times New Roman" w:cs="Times New Roman"/>
          <w:sz w:val="24"/>
          <w:szCs w:val="24"/>
        </w:rPr>
        <w:t>da Lei de Execução Penal, combinado com artigo 197, da mesma lei.</w:t>
      </w:r>
    </w:p>
    <w:p w:rsidR="00354E9C" w:rsidRDefault="00354E9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7FE" w:rsidRPr="00C8224C" w:rsidRDefault="007677F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24C">
        <w:rPr>
          <w:rFonts w:ascii="Times New Roman" w:hAnsi="Times New Roman" w:cs="Times New Roman"/>
          <w:b/>
          <w:sz w:val="28"/>
          <w:szCs w:val="28"/>
        </w:rPr>
        <w:t>2.44</w:t>
      </w:r>
      <w:r w:rsidR="00533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24C">
        <w:rPr>
          <w:rFonts w:ascii="Times New Roman" w:hAnsi="Times New Roman" w:cs="Times New Roman"/>
          <w:b/>
          <w:sz w:val="28"/>
          <w:szCs w:val="28"/>
        </w:rPr>
        <w:t>Que decrete medida de seguranç</w:t>
      </w:r>
      <w:r w:rsidR="0053358F">
        <w:rPr>
          <w:rFonts w:ascii="Times New Roman" w:hAnsi="Times New Roman" w:cs="Times New Roman"/>
          <w:b/>
          <w:sz w:val="28"/>
          <w:szCs w:val="28"/>
        </w:rPr>
        <w:t>a depois do trânsito em julgado</w:t>
      </w:r>
    </w:p>
    <w:p w:rsidR="00354E9C" w:rsidRDefault="00354E9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677FE" w:rsidRPr="00C8224C" w:rsidRDefault="00F12ED3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No que concerne </w:t>
      </w:r>
      <w:proofErr w:type="gramStart"/>
      <w:r w:rsidRPr="00C82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224C">
        <w:rPr>
          <w:rFonts w:ascii="Times New Roman" w:hAnsi="Times New Roman" w:cs="Times New Roman"/>
          <w:sz w:val="24"/>
          <w:szCs w:val="24"/>
        </w:rPr>
        <w:t xml:space="preserve"> medida de segurança, esta deverá estar disposta e explícita na sentença proferida no processo de conhecimento, cuja </w:t>
      </w:r>
      <w:r w:rsidR="0053358F" w:rsidRPr="00C8224C">
        <w:rPr>
          <w:rFonts w:ascii="Times New Roman" w:hAnsi="Times New Roman" w:cs="Times New Roman"/>
          <w:sz w:val="24"/>
          <w:szCs w:val="24"/>
        </w:rPr>
        <w:t>natureza jurídica determinada</w:t>
      </w:r>
      <w:r w:rsidRPr="00C8224C">
        <w:rPr>
          <w:rFonts w:ascii="Times New Roman" w:hAnsi="Times New Roman" w:cs="Times New Roman"/>
          <w:sz w:val="24"/>
          <w:szCs w:val="24"/>
        </w:rPr>
        <w:t xml:space="preserve"> é de uma absolvição imprópria.</w:t>
      </w:r>
    </w:p>
    <w:p w:rsidR="003A43DA" w:rsidRPr="00C8224C" w:rsidRDefault="003A43D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Sendo assim, tendo em vista que o disposto a ser rebatido está disposto em sentença de mérito</w:t>
      </w:r>
      <w:r w:rsidR="00DF45AD" w:rsidRPr="00C8224C">
        <w:rPr>
          <w:rFonts w:ascii="Times New Roman" w:hAnsi="Times New Roman" w:cs="Times New Roman"/>
          <w:sz w:val="24"/>
          <w:szCs w:val="24"/>
        </w:rPr>
        <w:t xml:space="preserve"> proferida em processo de conhecimento, não será cabível o RESE, mas sim, apelação.</w:t>
      </w:r>
    </w:p>
    <w:p w:rsidR="00C37ECA" w:rsidRPr="00C8224C" w:rsidRDefault="00C37EC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No entanto, em que pese </w:t>
      </w:r>
      <w:proofErr w:type="gramStart"/>
      <w:r w:rsidRPr="00C822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224C">
        <w:rPr>
          <w:rFonts w:ascii="Times New Roman" w:hAnsi="Times New Roman" w:cs="Times New Roman"/>
          <w:sz w:val="24"/>
          <w:szCs w:val="24"/>
        </w:rPr>
        <w:t xml:space="preserve"> decisão que impuser medida de segurança por transgressão de outra, desde que transitada em julgado, sua legitimidade será do juiz da execução, sendo cabível neste caso, o recurso de agravo.</w:t>
      </w:r>
    </w:p>
    <w:p w:rsidR="00CF6630" w:rsidRPr="00C8224C" w:rsidRDefault="00CF6630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Nesse sentido, temos as seguintes formas de medidas de segurança: internação em hospital de custódia ou, tratamento ambulatorial, que poderá ser convertido em internação.</w:t>
      </w:r>
    </w:p>
    <w:p w:rsidR="00CF6630" w:rsidRPr="00C8224C" w:rsidRDefault="00CF6630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No caso em que houver a conversão do tratamento ambulatorial em internação, não será possível o recurso em sentido estrito, mas sim, o agravo.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7ECA" w:rsidRPr="00C8224C" w:rsidRDefault="00C37EC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24C">
        <w:rPr>
          <w:rFonts w:ascii="Times New Roman" w:hAnsi="Times New Roman" w:cs="Times New Roman"/>
          <w:b/>
          <w:sz w:val="28"/>
          <w:szCs w:val="28"/>
        </w:rPr>
        <w:t>2.45</w:t>
      </w:r>
      <w:r w:rsidR="00706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F66" w:rsidRPr="00C8224C">
        <w:rPr>
          <w:rFonts w:ascii="Times New Roman" w:hAnsi="Times New Roman" w:cs="Times New Roman"/>
          <w:b/>
          <w:sz w:val="28"/>
          <w:szCs w:val="28"/>
        </w:rPr>
        <w:t>Que converta multa e</w:t>
      </w:r>
      <w:r w:rsidR="00706619">
        <w:rPr>
          <w:rFonts w:ascii="Times New Roman" w:hAnsi="Times New Roman" w:cs="Times New Roman"/>
          <w:b/>
          <w:sz w:val="28"/>
          <w:szCs w:val="28"/>
        </w:rPr>
        <w:t>m detenção ou em prisão simples</w:t>
      </w:r>
    </w:p>
    <w:p w:rsidR="0088340E" w:rsidRPr="00C8224C" w:rsidRDefault="0088340E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C2F66" w:rsidRPr="00C8224C" w:rsidRDefault="009B2C8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Com a reforma do Código Penal, e o advento da Lei 9268/96, que deu nova redação ao disposto no artigo 51, do Código Penal, verifica-se que inexiste a possibilidade de conversão a pena de multa em detenção.</w:t>
      </w:r>
    </w:p>
    <w:p w:rsidR="00C4402F" w:rsidRPr="00C8224C" w:rsidRDefault="00C4402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Isto porque, não há mais previsão legal que configure tal hipótese, e, além disso, a multa se tornou uma dívida de valor monetário, que inclusive, no caso de inadimplemento, poderá o devedor ser inscrito em dívida ativa pela Fazenda Pública. Em seguida, caberá ainda o ajuizamento de execução fiscal em face deste, bem como a constrição de bens patrimoniais</w:t>
      </w:r>
      <w:r w:rsidR="00762ABA" w:rsidRPr="00C8224C">
        <w:rPr>
          <w:rFonts w:ascii="Times New Roman" w:hAnsi="Times New Roman" w:cs="Times New Roman"/>
          <w:sz w:val="24"/>
          <w:szCs w:val="24"/>
        </w:rPr>
        <w:t>, e ainda, o protesto.</w:t>
      </w:r>
    </w:p>
    <w:p w:rsidR="00762ABA" w:rsidRPr="00C8224C" w:rsidRDefault="00762ABA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Com isso, denota-se que outras medidas podem ser aplicadas para as penalidades aplicáveis no caso de descumprimento no pagamento de multa, no entanto, incabível a conversão desta em detenção ou em prisão simples.</w:t>
      </w:r>
    </w:p>
    <w:p w:rsidR="00776125" w:rsidRPr="00C8224C" w:rsidRDefault="00776125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 xml:space="preserve">Por conseguinte, inexistindo tal possibilidade, o remédio constitucional a ser aplicado ao caso em concreto será o </w:t>
      </w:r>
      <w:r w:rsidRPr="00C8224C">
        <w:rPr>
          <w:rFonts w:ascii="Times New Roman" w:hAnsi="Times New Roman" w:cs="Times New Roman"/>
          <w:i/>
          <w:sz w:val="24"/>
          <w:szCs w:val="24"/>
        </w:rPr>
        <w:t xml:space="preserve">habeas corpus, </w:t>
      </w:r>
      <w:r w:rsidRPr="00C8224C">
        <w:rPr>
          <w:rFonts w:ascii="Times New Roman" w:hAnsi="Times New Roman" w:cs="Times New Roman"/>
          <w:sz w:val="24"/>
          <w:szCs w:val="24"/>
        </w:rPr>
        <w:t>em virtude da afronta cristalina à ilegalidade do direito de ir e vir.</w:t>
      </w:r>
    </w:p>
    <w:p w:rsidR="00985F6F" w:rsidRDefault="00985F6F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224C">
        <w:rPr>
          <w:rFonts w:ascii="Times New Roman" w:hAnsi="Times New Roman" w:cs="Times New Roman"/>
          <w:sz w:val="24"/>
          <w:szCs w:val="24"/>
        </w:rPr>
        <w:t>Assim sendo, inaplicável o recurso em sentido estrito</w:t>
      </w:r>
      <w:r w:rsidR="00172C24" w:rsidRPr="00C8224C">
        <w:rPr>
          <w:rFonts w:ascii="Times New Roman" w:hAnsi="Times New Roman" w:cs="Times New Roman"/>
          <w:sz w:val="24"/>
          <w:szCs w:val="24"/>
        </w:rPr>
        <w:t>, uma vez que a situação jurídica acerca da decisão que este deveria recair não é mais admissível na ordem jurídica.</w:t>
      </w:r>
    </w:p>
    <w:p w:rsidR="004106BC" w:rsidRDefault="004106B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106BC" w:rsidRPr="004106BC" w:rsidRDefault="004106B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"/>
          <w:szCs w:val="2"/>
        </w:rPr>
      </w:pPr>
    </w:p>
    <w:p w:rsidR="00354E9C" w:rsidRDefault="004106B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90BC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DAS NULIDADES</w:t>
      </w:r>
    </w:p>
    <w:p w:rsidR="00F47E40" w:rsidRDefault="004106BC" w:rsidP="0085227C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que pese ao as nu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lidades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processuais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47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há de se fazer correlação entre as 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nulidade</w:t>
      </w:r>
      <w:r w:rsidR="00F47E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absoluta ou relativa. </w:t>
      </w:r>
      <w:r w:rsidR="00F47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Deste modo, cumpre salientar, que 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nulidades relativas </w:t>
      </w:r>
      <w:r w:rsidR="00F47E40">
        <w:rPr>
          <w:rFonts w:ascii="Times New Roman" w:eastAsia="Times New Roman" w:hAnsi="Times New Roman" w:cs="Times New Roman"/>
          <w:color w:val="000000"/>
          <w:sz w:val="24"/>
          <w:szCs w:val="24"/>
        </w:rPr>
        <w:t>acontecem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quando há uma afetação à legislação federal infraconstitucional, desde que não tenha reflexo nas garantias constitucionais do dev</w:t>
      </w:r>
      <w:r w:rsidR="00F47E40">
        <w:rPr>
          <w:rFonts w:ascii="Times New Roman" w:eastAsia="Times New Roman" w:hAnsi="Times New Roman" w:cs="Times New Roman"/>
          <w:color w:val="000000"/>
          <w:sz w:val="24"/>
          <w:szCs w:val="24"/>
        </w:rPr>
        <w:t>ido processo legal. Caso haja</w:t>
      </w:r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, afetará</w:t>
      </w:r>
      <w:proofErr w:type="gramStart"/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sobretudo</w:t>
      </w:r>
      <w:proofErr w:type="gramEnd"/>
      <w:r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questão da garantia constitucional, consequentemente a nulidade será absoluta. </w:t>
      </w:r>
    </w:p>
    <w:p w:rsidR="0046398C" w:rsidRDefault="00772B24" w:rsidP="0085227C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pese a citação, esta se refere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previsão da legislação infraconstitucional,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está inserida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Código de Processo Penal.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Todavia, a ausência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citação e a aplicação da revelia como citação não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servem para validação, e, em seguida, podem acarretar a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nulidade absoluta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razão pela qual 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reflete na ampla defesa e contraditório, que</w:t>
      </w:r>
      <w:r w:rsidR="000C2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regra, são </w:t>
      </w:r>
      <w:proofErr w:type="spellStart"/>
      <w:r w:rsidR="000C2449">
        <w:rPr>
          <w:rFonts w:ascii="Times New Roman" w:eastAsia="Times New Roman" w:hAnsi="Times New Roman" w:cs="Times New Roman"/>
          <w:color w:val="000000"/>
          <w:sz w:val="24"/>
          <w:szCs w:val="24"/>
        </w:rPr>
        <w:t>ditamentos</w:t>
      </w:r>
      <w:proofErr w:type="spellEnd"/>
      <w:r w:rsidR="000C2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constitucionais. </w:t>
      </w:r>
    </w:p>
    <w:p w:rsidR="004106BC" w:rsidRPr="004106BC" w:rsidRDefault="0046398C" w:rsidP="0085227C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Nesse sentimento, cumpre ressalvar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as nulidades absolutas </w:t>
      </w:r>
      <w:r w:rsidR="00111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estão previstas </w:t>
      </w:r>
      <w:proofErr w:type="gramStart"/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só</w:t>
      </w:r>
      <w:proofErr w:type="gramEnd"/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Constituição</w:t>
      </w:r>
      <w:r w:rsidR="00111431">
        <w:rPr>
          <w:rFonts w:ascii="Times New Roman" w:eastAsia="Times New Roman" w:hAnsi="Times New Roman" w:cs="Times New Roman"/>
          <w:color w:val="000000"/>
          <w:sz w:val="24"/>
          <w:szCs w:val="24"/>
        </w:rPr>
        <w:t>, pois p</w:t>
      </w:r>
      <w:r w:rsidR="004106BC" w:rsidRPr="004106BC">
        <w:rPr>
          <w:rFonts w:ascii="Times New Roman" w:eastAsia="Times New Roman" w:hAnsi="Times New Roman" w:cs="Times New Roman"/>
          <w:color w:val="000000"/>
          <w:sz w:val="24"/>
          <w:szCs w:val="24"/>
        </w:rPr>
        <w:t>oderão estar na legislação infraconstitucional, desde que afete as garantias previstas no Texto Magno.</w:t>
      </w:r>
    </w:p>
    <w:p w:rsidR="004106BC" w:rsidRPr="004106BC" w:rsidRDefault="004106B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659E5" w:rsidRDefault="004106BC" w:rsidP="0085227C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0BC7">
        <w:rPr>
          <w:rFonts w:ascii="Times New Roman" w:hAnsi="Times New Roman" w:cs="Times New Roman"/>
          <w:b/>
          <w:sz w:val="28"/>
          <w:szCs w:val="28"/>
        </w:rPr>
        <w:t>.</w:t>
      </w:r>
      <w:r w:rsidR="006659E5">
        <w:rPr>
          <w:rFonts w:ascii="Times New Roman" w:hAnsi="Times New Roman" w:cs="Times New Roman"/>
          <w:b/>
          <w:sz w:val="28"/>
          <w:szCs w:val="28"/>
        </w:rPr>
        <w:t xml:space="preserve"> CONCLUSÃO</w:t>
      </w:r>
    </w:p>
    <w:p w:rsidR="002C2026" w:rsidRDefault="002C2026" w:rsidP="0085227C">
      <w:pPr>
        <w:pStyle w:val="PargrafodaLista"/>
        <w:tabs>
          <w:tab w:val="left" w:leader="dot" w:pos="8789"/>
        </w:tabs>
        <w:spacing w:line="360" w:lineRule="auto"/>
        <w:ind w:left="357" w:firstLine="1134"/>
        <w:jc w:val="both"/>
        <w:rPr>
          <w:rStyle w:val="apple-converted-space"/>
          <w:rFonts w:ascii="Times New Roman" w:hAnsi="Times New Roman" w:cs="Times New Roman"/>
          <w:color w:val="000000"/>
        </w:rPr>
      </w:pPr>
    </w:p>
    <w:p w:rsidR="009C25E3" w:rsidRPr="005B17C3" w:rsidRDefault="00EA679F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Durante a elaboração do presente trabalho, importante destacar que o recurso em sentido estrito nada mais</w:t>
      </w:r>
      <w:r w:rsidR="009C25E3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é do que uma forma do acusado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/condenado procurar reverter decisão desfavorável ao seu favor, por meio </w:t>
      </w:r>
      <w:r w:rsidR="009C25E3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de instrumentos processuais previstos em nossa legislação, por meio da análise de instância superior.</w:t>
      </w:r>
    </w:p>
    <w:p w:rsidR="00EA3EBB" w:rsidRPr="005B17C3" w:rsidRDefault="00EA3EBB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5B17C3" w:rsidRDefault="005B17C3" w:rsidP="005B17C3">
      <w:pPr>
        <w:pStyle w:val="NormalWeb"/>
        <w:spacing w:before="75" w:beforeAutospacing="0" w:after="75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 xml:space="preserve">Nossa própria </w:t>
      </w:r>
      <w:r w:rsidRPr="005B17C3">
        <w:rPr>
          <w:color w:val="333333"/>
        </w:rPr>
        <w:t xml:space="preserve">Constituição da República assegura ao acusado, </w:t>
      </w:r>
      <w:r>
        <w:rPr>
          <w:color w:val="333333"/>
        </w:rPr>
        <w:t xml:space="preserve">que está sendo </w:t>
      </w:r>
      <w:r w:rsidRPr="005B17C3">
        <w:rPr>
          <w:color w:val="333333"/>
        </w:rPr>
        <w:t xml:space="preserve">alvo da persecução criminal, o direito ao devido processo legal e seus princípios </w:t>
      </w:r>
      <w:proofErr w:type="spellStart"/>
      <w:r w:rsidRPr="005B17C3">
        <w:rPr>
          <w:color w:val="333333"/>
        </w:rPr>
        <w:t>institutivos</w:t>
      </w:r>
      <w:proofErr w:type="spellEnd"/>
      <w:r>
        <w:rPr>
          <w:color w:val="333333"/>
        </w:rPr>
        <w:t>, tais como o princípio</w:t>
      </w:r>
      <w:r w:rsidRPr="005B17C3">
        <w:rPr>
          <w:color w:val="333333"/>
        </w:rPr>
        <w:t xml:space="preserve"> do contraditório, </w:t>
      </w:r>
      <w:r>
        <w:rPr>
          <w:color w:val="333333"/>
        </w:rPr>
        <w:t xml:space="preserve">da </w:t>
      </w:r>
      <w:r w:rsidRPr="005B17C3">
        <w:rPr>
          <w:color w:val="333333"/>
        </w:rPr>
        <w:t xml:space="preserve">ampla defesa, isonomia </w:t>
      </w:r>
      <w:r>
        <w:rPr>
          <w:color w:val="333333"/>
        </w:rPr>
        <w:t xml:space="preserve">(todos são iguais perante a lei) </w:t>
      </w:r>
      <w:r w:rsidRPr="005B17C3">
        <w:rPr>
          <w:color w:val="333333"/>
        </w:rPr>
        <w:t>e direito à defesa técnica, e impõe um sistema penal acusatório</w:t>
      </w:r>
      <w:r>
        <w:rPr>
          <w:color w:val="333333"/>
        </w:rPr>
        <w:t xml:space="preserve">, conforme se depreende pela análise do </w:t>
      </w:r>
      <w:r w:rsidRPr="005B17C3">
        <w:rPr>
          <w:color w:val="333333"/>
        </w:rPr>
        <w:t>art. 5.º, LIII, LIV; LV e §1º, da C</w:t>
      </w:r>
      <w:r>
        <w:rPr>
          <w:color w:val="333333"/>
        </w:rPr>
        <w:t>F.</w:t>
      </w:r>
    </w:p>
    <w:p w:rsidR="005B17C3" w:rsidRDefault="005B17C3" w:rsidP="005B17C3">
      <w:pPr>
        <w:pStyle w:val="NormalWeb"/>
        <w:spacing w:before="75" w:beforeAutospacing="0" w:after="75" w:afterAutospacing="0" w:line="360" w:lineRule="auto"/>
        <w:ind w:firstLine="1134"/>
        <w:jc w:val="both"/>
        <w:rPr>
          <w:color w:val="333333"/>
        </w:rPr>
      </w:pPr>
    </w:p>
    <w:p w:rsidR="005B17C3" w:rsidRPr="005B17C3" w:rsidRDefault="005B17C3" w:rsidP="005B17C3">
      <w:pPr>
        <w:pStyle w:val="NormalWeb"/>
        <w:spacing w:before="75" w:beforeAutospacing="0" w:after="75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 xml:space="preserve">Sendo assim, significa dizer que o recurso apresentado pelo defensor, representante processual do acusado é essencial em todas as fases do </w:t>
      </w:r>
      <w:r w:rsidRPr="005B17C3">
        <w:rPr>
          <w:color w:val="333333"/>
        </w:rPr>
        <w:t>procedimento penal</w:t>
      </w:r>
      <w:r>
        <w:rPr>
          <w:color w:val="333333"/>
        </w:rPr>
        <w:t>, sendo</w:t>
      </w:r>
      <w:r w:rsidRPr="005B17C3">
        <w:rPr>
          <w:color w:val="333333"/>
        </w:rPr>
        <w:t xml:space="preserve"> indispensável a sua regularidade constitucional.</w:t>
      </w:r>
    </w:p>
    <w:p w:rsidR="005B17C3" w:rsidRPr="005B17C3" w:rsidRDefault="00681D98" w:rsidP="005B17C3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333333"/>
        </w:rPr>
      </w:pPr>
      <w:r>
        <w:rPr>
          <w:color w:val="333333"/>
        </w:rPr>
        <w:t>Em que pese ao direito</w:t>
      </w:r>
      <w:r w:rsidR="005B17C3" w:rsidRPr="005B17C3">
        <w:rPr>
          <w:color w:val="333333"/>
        </w:rPr>
        <w:t xml:space="preserve"> à defesa técnica, além de imanente ao devido processo legal, </w:t>
      </w:r>
      <w:r>
        <w:rPr>
          <w:color w:val="333333"/>
        </w:rPr>
        <w:t>trata-se de</w:t>
      </w:r>
      <w:r w:rsidR="005B17C3" w:rsidRPr="005B17C3">
        <w:rPr>
          <w:color w:val="333333"/>
        </w:rPr>
        <w:t xml:space="preserve"> direito reconhecido por vários tratados internacionais em matéria de direitos humanos, cuja aplicabilidade é imediata em território nacional uma vez ratificado pelo Brasil. </w:t>
      </w:r>
    </w:p>
    <w:p w:rsidR="005B17C3" w:rsidRPr="005B17C3" w:rsidRDefault="005B17C3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A679F" w:rsidRPr="005B17C3" w:rsidRDefault="00EA3EBB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Desta forma, importante destacar o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princípio da plenitude de defesa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 que se refere a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uma garantia individual, 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prevista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pela Constituição Federal, que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assegura 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ao ac</w:t>
      </w:r>
      <w:r w:rsidR="00832B77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usado que seu direito de defesa.</w:t>
      </w:r>
    </w:p>
    <w:p w:rsidR="00832B77" w:rsidRPr="005B17C3" w:rsidRDefault="00832B77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A679F" w:rsidRPr="005B17C3" w:rsidRDefault="00832B77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Nesse sentido, n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o que tange a defesa do acusado, 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frise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- em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 por oportuno,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breve aparato, a correlação com o princípio da ampla defesa. </w:t>
      </w:r>
    </w:p>
    <w:p w:rsidR="002C2026" w:rsidRPr="005B17C3" w:rsidRDefault="002C2026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A679F" w:rsidRPr="005B17C3" w:rsidRDefault="00EA679F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Após a pronúncia, e instado o processo, a plenitude de defesa é assegurad</w:t>
      </w:r>
      <w:r w:rsidR="00DB37CD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ao acusado, </w:t>
      </w:r>
      <w:r w:rsidR="00DB37CD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pois, em sede de recurso, é um meio primordial e de extrema importância para que este possa buscar meios de reforma da decisão desfavorável, convertendo-a </w:t>
      </w:r>
      <w:proofErr w:type="gramStart"/>
      <w:r w:rsidR="00DB37CD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="00DB37CD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seu favor. </w:t>
      </w:r>
    </w:p>
    <w:p w:rsidR="00EA679F" w:rsidRPr="005B17C3" w:rsidRDefault="00EA679F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A679F" w:rsidRPr="005B17C3" w:rsidRDefault="00EA679F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Nessa linha de raciocínio, nota-se que </w:t>
      </w:r>
      <w:r w:rsidR="00DB37CD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p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or base </w:t>
      </w:r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nos fatos aduzidos em sede de recurso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 decisão atacada será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analisada </w:t>
      </w:r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por livre convicção e entendimento de cada julgador, relator, revisor, de modo diverso. 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Ou seja,</w:t>
      </w:r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ainda que se </w:t>
      </w:r>
      <w:proofErr w:type="gramStart"/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sub</w:t>
      </w:r>
      <w:r w:rsidR="002145CD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me</w:t>
      </w:r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tendo</w:t>
      </w:r>
      <w:proofErr w:type="gramEnd"/>
      <w:r w:rsidR="00F634E8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a nova análise de mérito, urge reconhecer, a extrema importância</w:t>
      </w:r>
      <w:r w:rsidR="008E41CB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="008E41CB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re-análise</w:t>
      </w:r>
      <w:proofErr w:type="spellEnd"/>
      <w:r w:rsidR="008E41CB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, pois nesse caso, o que se questiona é a liberdade do indivíduo, bem como seu direito de ir e vir. </w:t>
      </w: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45CD" w:rsidRPr="005B17C3" w:rsidRDefault="002145CD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A679F" w:rsidRPr="005B17C3" w:rsidRDefault="008E41CB" w:rsidP="005B17C3">
      <w:pPr>
        <w:pStyle w:val="PargrafodaLista"/>
        <w:tabs>
          <w:tab w:val="left" w:leader="dot" w:pos="8789"/>
        </w:tabs>
        <w:spacing w:line="360" w:lineRule="auto"/>
        <w:ind w:left="0"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Deste modo, submete-se </w:t>
      </w:r>
      <w:r w:rsidR="00EA679F" w:rsidRPr="005B17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 acusado uma amplitude de defesa, que se tratando da ampla defesa é limitada, enquanto que a plenitude é uma garantia individual constitucional absoluta e preponderante.</w:t>
      </w:r>
    </w:p>
    <w:p w:rsidR="005B17C3" w:rsidRPr="005B17C3" w:rsidRDefault="005B17C3" w:rsidP="005B17C3">
      <w:pPr>
        <w:tabs>
          <w:tab w:val="left" w:leader="dot" w:pos="8789"/>
        </w:tabs>
        <w:spacing w:line="360" w:lineRule="auto"/>
        <w:ind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90BC7" w:rsidRDefault="00490BC7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D0979" w:rsidRDefault="00FD0979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D0979" w:rsidRDefault="00FD0979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F5170" w:rsidRDefault="004106BC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5</w:t>
      </w:r>
      <w:r w:rsidR="00490BC7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057038" w:rsidRPr="007066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F5170" w:rsidRPr="00706619">
        <w:rPr>
          <w:rFonts w:ascii="Times New Roman" w:hAnsi="Times New Roman" w:cs="Times New Roman"/>
          <w:b/>
          <w:caps/>
          <w:sz w:val="28"/>
          <w:szCs w:val="28"/>
        </w:rPr>
        <w:t>Referências Bibliográficas</w:t>
      </w:r>
    </w:p>
    <w:p w:rsidR="00AA6073" w:rsidRPr="00706619" w:rsidRDefault="00AA6073" w:rsidP="00392FA6">
      <w:pPr>
        <w:spacing w:line="360" w:lineRule="auto"/>
        <w:ind w:firstLine="113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F5170" w:rsidRPr="001D6E6D" w:rsidRDefault="00FF5170" w:rsidP="00392FA6">
      <w:pPr>
        <w:pStyle w:val="PargrafodaLista"/>
        <w:numPr>
          <w:ilvl w:val="0"/>
          <w:numId w:val="1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180">
        <w:rPr>
          <w:rFonts w:ascii="Times New Roman" w:hAnsi="Times New Roman" w:cs="Times New Roman"/>
          <w:caps/>
          <w:sz w:val="24"/>
          <w:szCs w:val="24"/>
        </w:rPr>
        <w:t>Rangel,</w:t>
      </w:r>
      <w:r w:rsidRPr="001D6E6D">
        <w:rPr>
          <w:rFonts w:ascii="Times New Roman" w:hAnsi="Times New Roman" w:cs="Times New Roman"/>
          <w:sz w:val="24"/>
          <w:szCs w:val="24"/>
        </w:rPr>
        <w:t xml:space="preserve"> Paulo. </w:t>
      </w:r>
      <w:r w:rsidRPr="000B329A">
        <w:rPr>
          <w:rFonts w:ascii="Times New Roman" w:hAnsi="Times New Roman" w:cs="Times New Roman"/>
          <w:b/>
          <w:sz w:val="24"/>
          <w:szCs w:val="24"/>
        </w:rPr>
        <w:t>Direito Processual Penal</w:t>
      </w:r>
      <w:r w:rsidRPr="001D6E6D">
        <w:rPr>
          <w:rFonts w:ascii="Times New Roman" w:hAnsi="Times New Roman" w:cs="Times New Roman"/>
          <w:sz w:val="24"/>
          <w:szCs w:val="24"/>
        </w:rPr>
        <w:t>, 23ª edição,</w:t>
      </w:r>
      <w:proofErr w:type="gramStart"/>
      <w:r w:rsidR="005E395B" w:rsidRPr="001D6E6D">
        <w:rPr>
          <w:rFonts w:ascii="Times New Roman" w:hAnsi="Times New Roman" w:cs="Times New Roman"/>
          <w:sz w:val="24"/>
          <w:szCs w:val="24"/>
        </w:rPr>
        <w:t xml:space="preserve"> </w:t>
      </w:r>
      <w:r w:rsidRPr="001D6E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D6E6D">
        <w:rPr>
          <w:rFonts w:ascii="Times New Roman" w:hAnsi="Times New Roman" w:cs="Times New Roman"/>
          <w:sz w:val="24"/>
          <w:szCs w:val="24"/>
        </w:rPr>
        <w:t>2014. Ed. Atlas.</w:t>
      </w:r>
    </w:p>
    <w:p w:rsidR="00320E8C" w:rsidRPr="001D6E6D" w:rsidRDefault="00320E8C" w:rsidP="00392FA6">
      <w:pPr>
        <w:pStyle w:val="PargrafodaLista"/>
        <w:numPr>
          <w:ilvl w:val="0"/>
          <w:numId w:val="1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180">
        <w:rPr>
          <w:rFonts w:ascii="Times New Roman" w:hAnsi="Times New Roman" w:cs="Times New Roman"/>
          <w:caps/>
          <w:sz w:val="24"/>
          <w:szCs w:val="24"/>
        </w:rPr>
        <w:t>Fisher,</w:t>
      </w:r>
      <w:r w:rsidRPr="001D6E6D">
        <w:rPr>
          <w:rFonts w:ascii="Times New Roman" w:hAnsi="Times New Roman" w:cs="Times New Roman"/>
          <w:sz w:val="24"/>
          <w:szCs w:val="24"/>
        </w:rPr>
        <w:t xml:space="preserve"> Salles Fernanda. </w:t>
      </w:r>
      <w:r w:rsidRPr="000B329A">
        <w:rPr>
          <w:rFonts w:ascii="Times New Roman" w:hAnsi="Times New Roman" w:cs="Times New Roman"/>
          <w:b/>
          <w:sz w:val="24"/>
          <w:szCs w:val="24"/>
        </w:rPr>
        <w:t>Teoria Unificada</w:t>
      </w:r>
      <w:r w:rsidRPr="001D6E6D">
        <w:rPr>
          <w:rFonts w:ascii="Times New Roman" w:hAnsi="Times New Roman" w:cs="Times New Roman"/>
          <w:sz w:val="24"/>
          <w:szCs w:val="24"/>
        </w:rPr>
        <w:t>, 5ª Edição, 2015, Ed. Saraiva.</w:t>
      </w:r>
    </w:p>
    <w:p w:rsidR="00320E8C" w:rsidRPr="001D6E6D" w:rsidRDefault="00320E8C" w:rsidP="00392FA6">
      <w:pPr>
        <w:pStyle w:val="PargrafodaLista"/>
        <w:numPr>
          <w:ilvl w:val="0"/>
          <w:numId w:val="1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180">
        <w:rPr>
          <w:rFonts w:ascii="Times New Roman" w:hAnsi="Times New Roman" w:cs="Times New Roman"/>
          <w:caps/>
          <w:sz w:val="24"/>
          <w:szCs w:val="24"/>
        </w:rPr>
        <w:t>Capobianco,</w:t>
      </w:r>
      <w:r w:rsidRPr="001D6E6D">
        <w:rPr>
          <w:rFonts w:ascii="Times New Roman" w:hAnsi="Times New Roman" w:cs="Times New Roman"/>
          <w:sz w:val="24"/>
          <w:szCs w:val="24"/>
        </w:rPr>
        <w:t xml:space="preserve"> Rodrigo Júlio. </w:t>
      </w:r>
      <w:r w:rsidRPr="000B329A">
        <w:rPr>
          <w:rFonts w:ascii="Times New Roman" w:hAnsi="Times New Roman" w:cs="Times New Roman"/>
          <w:b/>
          <w:sz w:val="24"/>
          <w:szCs w:val="24"/>
        </w:rPr>
        <w:t>Exame da Ordem</w:t>
      </w:r>
      <w:r w:rsidRPr="001D6E6D">
        <w:rPr>
          <w:rFonts w:ascii="Times New Roman" w:hAnsi="Times New Roman" w:cs="Times New Roman"/>
          <w:sz w:val="24"/>
          <w:szCs w:val="24"/>
        </w:rPr>
        <w:t>, 6ª Edição, 2016, Ed. Saraiva.</w:t>
      </w:r>
    </w:p>
    <w:p w:rsidR="00320E8C" w:rsidRPr="001D6E6D" w:rsidRDefault="00320E8C" w:rsidP="00392FA6">
      <w:pPr>
        <w:pStyle w:val="PargrafodaLista"/>
        <w:numPr>
          <w:ilvl w:val="0"/>
          <w:numId w:val="1"/>
        </w:num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E6D">
        <w:rPr>
          <w:rFonts w:ascii="Times New Roman" w:hAnsi="Times New Roman" w:cs="Times New Roman"/>
          <w:sz w:val="24"/>
          <w:szCs w:val="24"/>
        </w:rPr>
        <w:t xml:space="preserve"> </w:t>
      </w:r>
      <w:r w:rsidRPr="008E1180">
        <w:rPr>
          <w:rFonts w:ascii="Times New Roman" w:hAnsi="Times New Roman" w:cs="Times New Roman"/>
          <w:caps/>
          <w:sz w:val="24"/>
          <w:szCs w:val="24"/>
        </w:rPr>
        <w:t>Barroso</w:t>
      </w:r>
      <w:r w:rsidRPr="001D6E6D">
        <w:rPr>
          <w:rFonts w:ascii="Times New Roman" w:hAnsi="Times New Roman" w:cs="Times New Roman"/>
          <w:sz w:val="24"/>
          <w:szCs w:val="24"/>
        </w:rPr>
        <w:t xml:space="preserve">, Darlan, </w:t>
      </w:r>
      <w:proofErr w:type="spellStart"/>
      <w:r w:rsidRPr="001D6E6D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1D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E6D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1D6E6D">
        <w:rPr>
          <w:rFonts w:ascii="Times New Roman" w:hAnsi="Times New Roman" w:cs="Times New Roman"/>
          <w:sz w:val="24"/>
          <w:szCs w:val="24"/>
        </w:rPr>
        <w:t xml:space="preserve"> </w:t>
      </w:r>
      <w:r w:rsidRPr="000B329A">
        <w:rPr>
          <w:rFonts w:ascii="Times New Roman" w:hAnsi="Times New Roman" w:cs="Times New Roman"/>
          <w:b/>
          <w:sz w:val="24"/>
          <w:szCs w:val="24"/>
        </w:rPr>
        <w:t>OAB e concursos</w:t>
      </w:r>
      <w:r w:rsidRPr="001D6E6D">
        <w:rPr>
          <w:rFonts w:ascii="Times New Roman" w:hAnsi="Times New Roman" w:cs="Times New Roman"/>
          <w:sz w:val="24"/>
          <w:szCs w:val="24"/>
        </w:rPr>
        <w:t xml:space="preserve">, 8ª Edição, 2016. Ed. Revista dos Tribunais. </w:t>
      </w:r>
    </w:p>
    <w:p w:rsidR="001D6E6D" w:rsidRPr="00D95EA9" w:rsidRDefault="001D6E6D" w:rsidP="00392FA6">
      <w:pPr>
        <w:pStyle w:val="Ttulo2"/>
        <w:numPr>
          <w:ilvl w:val="2"/>
          <w:numId w:val="1"/>
        </w:numPr>
        <w:shd w:val="clear" w:color="auto" w:fill="FFFFFF"/>
        <w:spacing w:before="0" w:beforeAutospacing="0" w:after="150" w:afterAutospacing="0" w:line="360" w:lineRule="auto"/>
        <w:ind w:left="709" w:firstLine="1134"/>
        <w:rPr>
          <w:b w:val="0"/>
          <w:bCs w:val="0"/>
          <w:color w:val="1D1B11" w:themeColor="background2" w:themeShade="1A"/>
          <w:sz w:val="24"/>
          <w:szCs w:val="24"/>
        </w:rPr>
      </w:pPr>
      <w:r w:rsidRPr="001D6E6D">
        <w:rPr>
          <w:b w:val="0"/>
          <w:bCs w:val="0"/>
          <w:caps/>
          <w:color w:val="1D1B11" w:themeColor="background2" w:themeShade="1A"/>
          <w:sz w:val="24"/>
          <w:szCs w:val="24"/>
        </w:rPr>
        <w:t>Tourinho</w:t>
      </w:r>
      <w:r w:rsidRPr="001D6E6D">
        <w:rPr>
          <w:b w:val="0"/>
          <w:bCs w:val="0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1D6E6D">
        <w:rPr>
          <w:b w:val="0"/>
          <w:bCs w:val="0"/>
          <w:color w:val="1D1B11" w:themeColor="background2" w:themeShade="1A"/>
          <w:sz w:val="24"/>
          <w:szCs w:val="24"/>
        </w:rPr>
        <w:t>FILHO,</w:t>
      </w:r>
      <w:proofErr w:type="gramEnd"/>
      <w:r w:rsidRPr="001D6E6D">
        <w:rPr>
          <w:b w:val="0"/>
          <w:bCs w:val="0"/>
          <w:color w:val="1D1B11" w:themeColor="background2" w:themeShade="1A"/>
          <w:sz w:val="24"/>
          <w:szCs w:val="24"/>
        </w:rPr>
        <w:t>Fernando</w:t>
      </w:r>
      <w:proofErr w:type="spellEnd"/>
      <w:r w:rsidRPr="001D6E6D">
        <w:rPr>
          <w:b w:val="0"/>
          <w:bCs w:val="0"/>
          <w:color w:val="1D1B11" w:themeColor="background2" w:themeShade="1A"/>
          <w:sz w:val="24"/>
          <w:szCs w:val="24"/>
        </w:rPr>
        <w:t xml:space="preserve"> Costa. </w:t>
      </w:r>
      <w:r w:rsidRPr="001D6E6D">
        <w:rPr>
          <w:bCs w:val="0"/>
          <w:color w:val="1D1B11" w:themeColor="background2" w:themeShade="1A"/>
          <w:sz w:val="24"/>
          <w:szCs w:val="24"/>
        </w:rPr>
        <w:t>Prática de Processo Penal.</w:t>
      </w:r>
      <w:r w:rsidRPr="001D6E6D">
        <w:rPr>
          <w:b w:val="0"/>
          <w:bCs w:val="0"/>
          <w:color w:val="1D1B11" w:themeColor="background2" w:themeShade="1A"/>
          <w:sz w:val="24"/>
          <w:szCs w:val="24"/>
        </w:rPr>
        <w:t xml:space="preserve"> 35.ª Ed. São </w:t>
      </w:r>
      <w:r w:rsidRPr="00D95EA9">
        <w:rPr>
          <w:b w:val="0"/>
          <w:bCs w:val="0"/>
          <w:color w:val="1D1B11" w:themeColor="background2" w:themeShade="1A"/>
          <w:sz w:val="24"/>
          <w:szCs w:val="24"/>
        </w:rPr>
        <w:t xml:space="preserve">Paulo. 2014. </w:t>
      </w:r>
    </w:p>
    <w:p w:rsidR="00611B90" w:rsidRPr="00D95EA9" w:rsidRDefault="00611B90" w:rsidP="00392FA6">
      <w:pPr>
        <w:pStyle w:val="Ttulo2"/>
        <w:numPr>
          <w:ilvl w:val="2"/>
          <w:numId w:val="1"/>
        </w:numPr>
        <w:shd w:val="clear" w:color="auto" w:fill="FFFFFF"/>
        <w:spacing w:before="0" w:beforeAutospacing="0" w:after="150" w:afterAutospacing="0" w:line="360" w:lineRule="auto"/>
        <w:ind w:left="709" w:firstLine="1134"/>
        <w:rPr>
          <w:b w:val="0"/>
          <w:bCs w:val="0"/>
          <w:color w:val="1D1B11" w:themeColor="background2" w:themeShade="1A"/>
          <w:sz w:val="24"/>
          <w:szCs w:val="24"/>
        </w:rPr>
      </w:pPr>
      <w:r w:rsidRPr="00D95EA9">
        <w:rPr>
          <w:b w:val="0"/>
          <w:bCs w:val="0"/>
          <w:color w:val="1D1B11" w:themeColor="background2" w:themeShade="1A"/>
          <w:sz w:val="24"/>
          <w:szCs w:val="24"/>
        </w:rPr>
        <w:t xml:space="preserve">MIRABETE, Júlio Fabbrini. </w:t>
      </w:r>
      <w:r w:rsidRPr="00D95EA9">
        <w:rPr>
          <w:bCs w:val="0"/>
          <w:color w:val="1D1B11" w:themeColor="background2" w:themeShade="1A"/>
          <w:sz w:val="24"/>
          <w:szCs w:val="24"/>
        </w:rPr>
        <w:t>Processo Penal</w:t>
      </w:r>
      <w:r w:rsidRPr="00D95EA9">
        <w:rPr>
          <w:b w:val="0"/>
          <w:bCs w:val="0"/>
          <w:color w:val="1D1B11" w:themeColor="background2" w:themeShade="1A"/>
          <w:sz w:val="24"/>
          <w:szCs w:val="24"/>
        </w:rPr>
        <w:t xml:space="preserve">. 18.ª. Ed. São Paulo. 2004. </w:t>
      </w:r>
    </w:p>
    <w:p w:rsidR="00D95EA9" w:rsidRPr="00D95EA9" w:rsidRDefault="00D95EA9" w:rsidP="00392FA6">
      <w:pPr>
        <w:pStyle w:val="Ttulo2"/>
        <w:numPr>
          <w:ilvl w:val="2"/>
          <w:numId w:val="1"/>
        </w:numPr>
        <w:shd w:val="clear" w:color="auto" w:fill="FFFFFF"/>
        <w:spacing w:before="0" w:beforeAutospacing="0" w:after="150" w:afterAutospacing="0" w:line="360" w:lineRule="auto"/>
        <w:ind w:left="709" w:firstLine="1134"/>
        <w:rPr>
          <w:b w:val="0"/>
          <w:bCs w:val="0"/>
          <w:color w:val="1D1B11" w:themeColor="background2" w:themeShade="1A"/>
          <w:sz w:val="24"/>
          <w:szCs w:val="24"/>
        </w:rPr>
      </w:pPr>
      <w:r w:rsidRPr="00D95EA9">
        <w:rPr>
          <w:b w:val="0"/>
          <w:bCs w:val="0"/>
          <w:caps/>
          <w:color w:val="1D1B11" w:themeColor="background2" w:themeShade="1A"/>
          <w:sz w:val="24"/>
          <w:szCs w:val="24"/>
        </w:rPr>
        <w:t>Mirabete,</w:t>
      </w:r>
      <w:r w:rsidRPr="00D95EA9">
        <w:rPr>
          <w:b w:val="0"/>
          <w:bCs w:val="0"/>
          <w:color w:val="1D1B11" w:themeColor="background2" w:themeShade="1A"/>
          <w:sz w:val="24"/>
          <w:szCs w:val="24"/>
        </w:rPr>
        <w:t xml:space="preserve"> Júlio </w:t>
      </w:r>
      <w:proofErr w:type="spellStart"/>
      <w:r w:rsidRPr="00D95EA9">
        <w:rPr>
          <w:b w:val="0"/>
          <w:bCs w:val="0"/>
          <w:color w:val="1D1B11" w:themeColor="background2" w:themeShade="1A"/>
          <w:sz w:val="24"/>
          <w:szCs w:val="24"/>
        </w:rPr>
        <w:t>Fabrini</w:t>
      </w:r>
      <w:proofErr w:type="spellEnd"/>
      <w:r w:rsidRPr="00D95EA9">
        <w:rPr>
          <w:b w:val="0"/>
          <w:bCs w:val="0"/>
          <w:color w:val="1D1B11" w:themeColor="background2" w:themeShade="1A"/>
          <w:sz w:val="24"/>
          <w:szCs w:val="24"/>
        </w:rPr>
        <w:t>. </w:t>
      </w:r>
      <w:r w:rsidRPr="00D95EA9">
        <w:rPr>
          <w:color w:val="1D1B11" w:themeColor="background2" w:themeShade="1A"/>
          <w:sz w:val="24"/>
          <w:szCs w:val="24"/>
        </w:rPr>
        <w:t>Código de Processo Penal</w:t>
      </w:r>
      <w:r w:rsidRPr="00D95EA9">
        <w:rPr>
          <w:b w:val="0"/>
          <w:bCs w:val="0"/>
          <w:color w:val="1D1B11" w:themeColor="background2" w:themeShade="1A"/>
          <w:sz w:val="24"/>
          <w:szCs w:val="24"/>
        </w:rPr>
        <w:t>. São Paulo: Atlas, 2000.</w:t>
      </w:r>
    </w:p>
    <w:p w:rsidR="009635E6" w:rsidRPr="00D02193" w:rsidRDefault="009635E6" w:rsidP="00392FA6">
      <w:pPr>
        <w:pStyle w:val="PargrafodaLista"/>
        <w:numPr>
          <w:ilvl w:val="0"/>
          <w:numId w:val="1"/>
        </w:numPr>
        <w:spacing w:line="360" w:lineRule="auto"/>
        <w:ind w:left="709" w:firstLine="113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gramStart"/>
      <w:r w:rsidRPr="00D0219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FARIA,</w:t>
      </w:r>
      <w:proofErr w:type="gramEnd"/>
      <w:r w:rsidRPr="00D0219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Bento. </w:t>
      </w:r>
      <w:r w:rsidRPr="00D0219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Curso de processo penal</w:t>
      </w:r>
      <w:r w:rsidRPr="00D0219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6ª ed. São </w:t>
      </w:r>
      <w:proofErr w:type="gramStart"/>
      <w:r w:rsidRPr="00D0219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Paulo.</w:t>
      </w:r>
      <w:proofErr w:type="gramEnd"/>
      <w:r w:rsidRPr="00D0219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1989, v.2. </w:t>
      </w:r>
    </w:p>
    <w:p w:rsidR="00D02193" w:rsidRPr="00D02193" w:rsidRDefault="00D02193" w:rsidP="00392FA6">
      <w:pPr>
        <w:pStyle w:val="PargrafodaLista"/>
        <w:numPr>
          <w:ilvl w:val="0"/>
          <w:numId w:val="1"/>
        </w:numPr>
        <w:spacing w:line="360" w:lineRule="auto"/>
        <w:ind w:left="709" w:firstLine="113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D02193">
        <w:rPr>
          <w:rFonts w:ascii="Times New Roman" w:hAnsi="Times New Roman" w:cs="Times New Roman"/>
          <w:color w:val="1D1B11" w:themeColor="background2" w:themeShade="1A"/>
        </w:rPr>
        <w:t xml:space="preserve">MELLO FILHO, José Celso, </w:t>
      </w:r>
      <w:r w:rsidRPr="000B329A">
        <w:rPr>
          <w:rFonts w:ascii="Times New Roman" w:hAnsi="Times New Roman" w:cs="Times New Roman"/>
          <w:b/>
          <w:color w:val="1D1B11" w:themeColor="background2" w:themeShade="1A"/>
        </w:rPr>
        <w:t>A tutela judicial da liberdade</w:t>
      </w:r>
      <w:r w:rsidRPr="00D02193">
        <w:rPr>
          <w:rFonts w:ascii="Times New Roman" w:hAnsi="Times New Roman" w:cs="Times New Roman"/>
          <w:color w:val="1D1B11" w:themeColor="background2" w:themeShade="1A"/>
        </w:rPr>
        <w:t>. RT 526/291</w:t>
      </w:r>
    </w:p>
    <w:p w:rsidR="009635E6" w:rsidRPr="00611B90" w:rsidRDefault="009635E6" w:rsidP="0085227C">
      <w:pPr>
        <w:pStyle w:val="Ttulo2"/>
        <w:shd w:val="clear" w:color="auto" w:fill="FFFFFF"/>
        <w:spacing w:before="0" w:beforeAutospacing="0" w:after="150" w:afterAutospacing="0" w:line="360" w:lineRule="auto"/>
        <w:ind w:left="2127" w:firstLine="1134"/>
        <w:rPr>
          <w:bCs w:val="0"/>
          <w:color w:val="1D1B11" w:themeColor="background2" w:themeShade="1A"/>
          <w:sz w:val="24"/>
          <w:szCs w:val="24"/>
        </w:rPr>
      </w:pPr>
    </w:p>
    <w:sectPr w:rsidR="009635E6" w:rsidRPr="00611B90" w:rsidSect="0053358F">
      <w:pgSz w:w="11906" w:h="16838"/>
      <w:pgMar w:top="1701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53" w:rsidRDefault="009F0553" w:rsidP="00003381">
      <w:pPr>
        <w:spacing w:after="0" w:line="240" w:lineRule="auto"/>
      </w:pPr>
      <w:r>
        <w:separator/>
      </w:r>
    </w:p>
  </w:endnote>
  <w:endnote w:type="continuationSeparator" w:id="0">
    <w:p w:rsidR="009F0553" w:rsidRDefault="009F0553" w:rsidP="0000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53" w:rsidRDefault="009F0553" w:rsidP="00003381">
      <w:pPr>
        <w:spacing w:after="0" w:line="240" w:lineRule="auto"/>
      </w:pPr>
      <w:r>
        <w:separator/>
      </w:r>
    </w:p>
  </w:footnote>
  <w:footnote w:type="continuationSeparator" w:id="0">
    <w:p w:rsidR="009F0553" w:rsidRDefault="009F0553" w:rsidP="00003381">
      <w:pPr>
        <w:spacing w:after="0" w:line="240" w:lineRule="auto"/>
      </w:pPr>
      <w:r>
        <w:continuationSeparator/>
      </w:r>
    </w:p>
  </w:footnote>
  <w:footnote w:id="1">
    <w:p w:rsidR="00003381" w:rsidRPr="00664372" w:rsidRDefault="00003381">
      <w:pPr>
        <w:pStyle w:val="Textodenotaderodap"/>
        <w:rPr>
          <w:rFonts w:ascii="Times New Roman" w:hAnsi="Times New Roman" w:cs="Times New Roman"/>
        </w:rPr>
      </w:pPr>
      <w:r w:rsidRPr="00664372">
        <w:rPr>
          <w:rStyle w:val="Refdenotaderodap"/>
          <w:rFonts w:ascii="Times New Roman" w:hAnsi="Times New Roman" w:cs="Times New Roman"/>
        </w:rPr>
        <w:footnoteRef/>
      </w:r>
      <w:r w:rsidRPr="00664372">
        <w:rPr>
          <w:rFonts w:ascii="Times New Roman" w:hAnsi="Times New Roman" w:cs="Times New Roman"/>
        </w:rPr>
        <w:t xml:space="preserve"> RANGEL, Paulo.</w:t>
      </w:r>
      <w:r w:rsidRPr="00664372">
        <w:rPr>
          <w:rFonts w:ascii="Times New Roman" w:hAnsi="Times New Roman" w:cs="Times New Roman"/>
          <w:i/>
        </w:rPr>
        <w:t xml:space="preserve"> Direito processual penal</w:t>
      </w:r>
      <w:r w:rsidRPr="00664372">
        <w:rPr>
          <w:rFonts w:ascii="Times New Roman" w:hAnsi="Times New Roman" w:cs="Times New Roman"/>
        </w:rPr>
        <w:t>.  23ª ed.</w:t>
      </w:r>
      <w:proofErr w:type="gramStart"/>
      <w:r w:rsidRPr="00664372">
        <w:rPr>
          <w:rFonts w:ascii="Times New Roman" w:hAnsi="Times New Roman" w:cs="Times New Roman"/>
        </w:rPr>
        <w:t xml:space="preserve">  </w:t>
      </w:r>
      <w:proofErr w:type="gramEnd"/>
      <w:r w:rsidRPr="00664372">
        <w:rPr>
          <w:rFonts w:ascii="Times New Roman" w:hAnsi="Times New Roman" w:cs="Times New Roman"/>
        </w:rPr>
        <w:t xml:space="preserve">São Paulo: Atlas, 2014. </w:t>
      </w:r>
      <w:proofErr w:type="gramStart"/>
      <w:r w:rsidRPr="00664372">
        <w:rPr>
          <w:rFonts w:ascii="Times New Roman" w:hAnsi="Times New Roman" w:cs="Times New Roman"/>
        </w:rPr>
        <w:t>p.</w:t>
      </w:r>
      <w:proofErr w:type="gramEnd"/>
      <w:r w:rsidRPr="00664372">
        <w:rPr>
          <w:rFonts w:ascii="Times New Roman" w:hAnsi="Times New Roman" w:cs="Times New Roman"/>
        </w:rPr>
        <w:t>. 1008.</w:t>
      </w:r>
    </w:p>
  </w:footnote>
  <w:footnote w:id="2">
    <w:p w:rsidR="006B346F" w:rsidRPr="006B346F" w:rsidRDefault="006B346F">
      <w:pPr>
        <w:pStyle w:val="Textodenotaderodap"/>
        <w:rPr>
          <w:rFonts w:ascii="Times New Roman" w:hAnsi="Times New Roman" w:cs="Times New Roman"/>
        </w:rPr>
      </w:pPr>
      <w:r w:rsidRPr="006B346F">
        <w:rPr>
          <w:rStyle w:val="Refdenotaderodap"/>
          <w:rFonts w:ascii="Times New Roman" w:hAnsi="Times New Roman" w:cs="Times New Roman"/>
        </w:rPr>
        <w:footnoteRef/>
      </w:r>
      <w:r w:rsidRPr="006B346F">
        <w:rPr>
          <w:rFonts w:ascii="Times New Roman" w:hAnsi="Times New Roman" w:cs="Times New Roman"/>
        </w:rPr>
        <w:t xml:space="preserve"> </w:t>
      </w:r>
      <w:r w:rsidRPr="006B346F">
        <w:rPr>
          <w:rFonts w:ascii="Times New Roman" w:hAnsi="Times New Roman" w:cs="Times New Roman"/>
          <w:color w:val="333333"/>
        </w:rPr>
        <w:t xml:space="preserve">NUNES, </w:t>
      </w:r>
      <w:proofErr w:type="spellStart"/>
      <w:r w:rsidRPr="006B346F">
        <w:rPr>
          <w:rFonts w:ascii="Times New Roman" w:hAnsi="Times New Roman" w:cs="Times New Roman"/>
          <w:color w:val="333333"/>
        </w:rPr>
        <w:t>Dierle</w:t>
      </w:r>
      <w:proofErr w:type="spellEnd"/>
      <w:r w:rsidRPr="006B346F">
        <w:rPr>
          <w:rFonts w:ascii="Times New Roman" w:hAnsi="Times New Roman" w:cs="Times New Roman"/>
          <w:color w:val="333333"/>
        </w:rPr>
        <w:t xml:space="preserve"> José Coelho.</w:t>
      </w:r>
      <w:r w:rsidRPr="006B346F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6B346F">
        <w:rPr>
          <w:rStyle w:val="Forte"/>
          <w:rFonts w:ascii="Times New Roman" w:hAnsi="Times New Roman" w:cs="Times New Roman"/>
          <w:color w:val="333333"/>
          <w:bdr w:val="none" w:sz="0" w:space="0" w:color="auto" w:frame="1"/>
        </w:rPr>
        <w:t xml:space="preserve">Apontamentos iniciais do modelo constitucional de processo civil brasileiro: da concepção procedimental </w:t>
      </w:r>
      <w:proofErr w:type="spellStart"/>
      <w:r w:rsidRPr="006B346F">
        <w:rPr>
          <w:rStyle w:val="Forte"/>
          <w:rFonts w:ascii="Times New Roman" w:hAnsi="Times New Roman" w:cs="Times New Roman"/>
          <w:color w:val="333333"/>
          <w:bdr w:val="none" w:sz="0" w:space="0" w:color="auto" w:frame="1"/>
        </w:rPr>
        <w:t>comparticipativa</w:t>
      </w:r>
      <w:proofErr w:type="spellEnd"/>
      <w:r w:rsidRPr="006B346F">
        <w:rPr>
          <w:rStyle w:val="Forte"/>
          <w:rFonts w:ascii="Times New Roman" w:hAnsi="Times New Roman" w:cs="Times New Roman"/>
          <w:color w:val="333333"/>
          <w:bdr w:val="none" w:sz="0" w:space="0" w:color="auto" w:frame="1"/>
        </w:rPr>
        <w:t xml:space="preserve"> de aplicação da tutela – da leitura das cláusulas gerais no novo código civil</w:t>
      </w:r>
      <w:r w:rsidRPr="006B346F">
        <w:rPr>
          <w:rFonts w:ascii="Times New Roman" w:hAnsi="Times New Roman" w:cs="Times New Roman"/>
          <w:color w:val="333333"/>
        </w:rPr>
        <w:t>.</w:t>
      </w:r>
      <w:r w:rsidRPr="006B346F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6B346F">
        <w:rPr>
          <w:rStyle w:val="nfase"/>
          <w:rFonts w:ascii="Times New Roman" w:hAnsi="Times New Roman" w:cs="Times New Roman"/>
          <w:color w:val="333333"/>
          <w:bdr w:val="none" w:sz="0" w:space="0" w:color="auto" w:frame="1"/>
        </w:rPr>
        <w:t>In</w:t>
      </w:r>
      <w:r w:rsidRPr="006B346F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6B346F">
        <w:rPr>
          <w:rFonts w:ascii="Times New Roman" w:hAnsi="Times New Roman" w:cs="Times New Roman"/>
          <w:color w:val="333333"/>
        </w:rPr>
        <w:t xml:space="preserve">Revista da Faculdade de Direito de Sete Lagoas. Sete Lagoas, v.3, n.1, p. 37-61, janeiro/junho de </w:t>
      </w:r>
      <w:proofErr w:type="gramStart"/>
      <w:r w:rsidRPr="006B346F">
        <w:rPr>
          <w:rFonts w:ascii="Times New Roman" w:hAnsi="Times New Roman" w:cs="Times New Roman"/>
          <w:color w:val="333333"/>
        </w:rPr>
        <w:t>2004a.</w:t>
      </w:r>
      <w:proofErr w:type="gramEnd"/>
    </w:p>
  </w:footnote>
  <w:footnote w:id="3">
    <w:p w:rsidR="007667F4" w:rsidRPr="007667F4" w:rsidRDefault="007667F4" w:rsidP="007667F4">
      <w:pPr>
        <w:pStyle w:val="Ttulo2"/>
        <w:shd w:val="clear" w:color="auto" w:fill="FFFFFF"/>
        <w:spacing w:before="0" w:beforeAutospacing="0" w:after="150" w:afterAutospacing="0"/>
        <w:rPr>
          <w:bCs w:val="0"/>
          <w:color w:val="666666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667F4">
        <w:rPr>
          <w:b w:val="0"/>
          <w:bCs w:val="0"/>
          <w:caps/>
          <w:color w:val="666666"/>
          <w:sz w:val="20"/>
          <w:szCs w:val="20"/>
        </w:rPr>
        <w:t>Tourinho</w:t>
      </w:r>
      <w:r w:rsidRPr="007667F4">
        <w:rPr>
          <w:b w:val="0"/>
          <w:bCs w:val="0"/>
          <w:color w:val="666666"/>
          <w:sz w:val="20"/>
          <w:szCs w:val="20"/>
        </w:rPr>
        <w:t xml:space="preserve"> </w:t>
      </w:r>
      <w:proofErr w:type="spellStart"/>
      <w:proofErr w:type="gramStart"/>
      <w:r w:rsidRPr="007667F4">
        <w:rPr>
          <w:b w:val="0"/>
          <w:bCs w:val="0"/>
          <w:color w:val="666666"/>
          <w:sz w:val="20"/>
          <w:szCs w:val="20"/>
        </w:rPr>
        <w:t>FILHO,</w:t>
      </w:r>
      <w:proofErr w:type="gramEnd"/>
      <w:r w:rsidRPr="007667F4">
        <w:rPr>
          <w:b w:val="0"/>
          <w:bCs w:val="0"/>
          <w:color w:val="666666"/>
          <w:sz w:val="20"/>
          <w:szCs w:val="20"/>
        </w:rPr>
        <w:t>Fernando</w:t>
      </w:r>
      <w:proofErr w:type="spellEnd"/>
      <w:r w:rsidRPr="007667F4">
        <w:rPr>
          <w:b w:val="0"/>
          <w:bCs w:val="0"/>
          <w:color w:val="666666"/>
          <w:sz w:val="20"/>
          <w:szCs w:val="20"/>
        </w:rPr>
        <w:t xml:space="preserve"> Costa. </w:t>
      </w:r>
      <w:r w:rsidRPr="007667F4">
        <w:rPr>
          <w:bCs w:val="0"/>
          <w:color w:val="666666"/>
          <w:sz w:val="20"/>
          <w:szCs w:val="20"/>
        </w:rPr>
        <w:t xml:space="preserve">Prática de Processo Penal. </w:t>
      </w:r>
      <w:r w:rsidRPr="00A425B9">
        <w:rPr>
          <w:b w:val="0"/>
          <w:bCs w:val="0"/>
          <w:color w:val="666666"/>
          <w:sz w:val="20"/>
          <w:szCs w:val="20"/>
        </w:rPr>
        <w:t xml:space="preserve">35.ª Ed. São Paulo. 2014. </w:t>
      </w:r>
      <w:proofErr w:type="gramStart"/>
      <w:r w:rsidRPr="00A425B9">
        <w:rPr>
          <w:b w:val="0"/>
          <w:bCs w:val="0"/>
          <w:color w:val="666666"/>
          <w:sz w:val="20"/>
          <w:szCs w:val="20"/>
        </w:rPr>
        <w:t>p.</w:t>
      </w:r>
      <w:proofErr w:type="gramEnd"/>
      <w:r w:rsidRPr="00A425B9">
        <w:rPr>
          <w:b w:val="0"/>
          <w:bCs w:val="0"/>
          <w:color w:val="666666"/>
          <w:sz w:val="20"/>
          <w:szCs w:val="20"/>
        </w:rPr>
        <w:t xml:space="preserve"> 76.</w:t>
      </w:r>
    </w:p>
    <w:p w:rsidR="007667F4" w:rsidRDefault="007667F4">
      <w:pPr>
        <w:pStyle w:val="Textodenotaderodap"/>
      </w:pPr>
    </w:p>
  </w:footnote>
  <w:footnote w:id="4">
    <w:p w:rsidR="00611B90" w:rsidRPr="00611B90" w:rsidRDefault="00611B9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11B90">
        <w:rPr>
          <w:rFonts w:ascii="Times New Roman" w:hAnsi="Times New Roman" w:cs="Times New Roman"/>
        </w:rPr>
        <w:t xml:space="preserve">MIRABETE, Júlio Fabbrini. </w:t>
      </w:r>
      <w:r w:rsidRPr="00611B90">
        <w:rPr>
          <w:rFonts w:ascii="Times New Roman" w:hAnsi="Times New Roman" w:cs="Times New Roman"/>
          <w:b/>
        </w:rPr>
        <w:t xml:space="preserve">Processo Penal. </w:t>
      </w:r>
      <w:r w:rsidRPr="00611B90">
        <w:rPr>
          <w:rFonts w:ascii="Times New Roman" w:hAnsi="Times New Roman" w:cs="Times New Roman"/>
        </w:rPr>
        <w:t>18.ª. Ed. São Paulo. 2004. P.226.</w:t>
      </w:r>
    </w:p>
  </w:footnote>
  <w:footnote w:id="5">
    <w:p w:rsidR="00FE38B5" w:rsidRPr="00AA6073" w:rsidRDefault="00FE38B5">
      <w:pPr>
        <w:pStyle w:val="Textodenotaderodap"/>
        <w:rPr>
          <w:rFonts w:ascii="Times New Roman" w:hAnsi="Times New Roman" w:cs="Times New Roman"/>
        </w:rPr>
      </w:pPr>
      <w:r w:rsidRPr="00F95C4B">
        <w:rPr>
          <w:rStyle w:val="Refdenotaderodap"/>
          <w:rFonts w:ascii="Times New Roman" w:hAnsi="Times New Roman" w:cs="Times New Roman"/>
        </w:rPr>
        <w:footnoteRef/>
      </w:r>
      <w:r w:rsidRPr="00F95C4B">
        <w:rPr>
          <w:rFonts w:ascii="Times New Roman" w:hAnsi="Times New Roman" w:cs="Times New Roman"/>
        </w:rPr>
        <w:t xml:space="preserve">  </w:t>
      </w:r>
      <w:r w:rsidR="00AA6073" w:rsidRPr="00AA6073">
        <w:rPr>
          <w:rFonts w:ascii="Times New Roman" w:hAnsi="Times New Roman" w:cs="Times New Roman"/>
          <w:color w:val="333333"/>
        </w:rPr>
        <w:t xml:space="preserve">Mirabete, Júlio </w:t>
      </w:r>
      <w:proofErr w:type="spellStart"/>
      <w:r w:rsidR="00AA6073" w:rsidRPr="00AA6073">
        <w:rPr>
          <w:rFonts w:ascii="Times New Roman" w:hAnsi="Times New Roman" w:cs="Times New Roman"/>
          <w:color w:val="333333"/>
        </w:rPr>
        <w:t>Fabrini</w:t>
      </w:r>
      <w:proofErr w:type="spellEnd"/>
      <w:r w:rsidR="00AA6073" w:rsidRPr="00AA6073">
        <w:rPr>
          <w:rFonts w:ascii="Times New Roman" w:hAnsi="Times New Roman" w:cs="Times New Roman"/>
          <w:color w:val="333333"/>
        </w:rPr>
        <w:t>.</w:t>
      </w:r>
      <w:r w:rsidR="00AA6073" w:rsidRPr="00AA6073">
        <w:rPr>
          <w:rStyle w:val="apple-converted-space"/>
          <w:rFonts w:ascii="Times New Roman" w:hAnsi="Times New Roman" w:cs="Times New Roman"/>
          <w:color w:val="333333"/>
        </w:rPr>
        <w:t> </w:t>
      </w:r>
      <w:r w:rsidR="00AA6073" w:rsidRPr="00AA6073">
        <w:rPr>
          <w:rStyle w:val="Forte"/>
          <w:rFonts w:ascii="Times New Roman" w:hAnsi="Times New Roman" w:cs="Times New Roman"/>
          <w:color w:val="333333"/>
          <w:bdr w:val="none" w:sz="0" w:space="0" w:color="auto" w:frame="1"/>
        </w:rPr>
        <w:t>Código de Processo Penal</w:t>
      </w:r>
      <w:r w:rsidR="00D22DCE">
        <w:rPr>
          <w:rFonts w:ascii="Times New Roman" w:hAnsi="Times New Roman" w:cs="Times New Roman"/>
          <w:color w:val="333333"/>
        </w:rPr>
        <w:t xml:space="preserve">. São Paulo. </w:t>
      </w:r>
      <w:r w:rsidR="00AA6073" w:rsidRPr="00AA6073">
        <w:rPr>
          <w:rFonts w:ascii="Times New Roman" w:hAnsi="Times New Roman" w:cs="Times New Roman"/>
          <w:color w:val="333333"/>
        </w:rPr>
        <w:t xml:space="preserve"> 2000.</w:t>
      </w:r>
      <w:r w:rsidR="00D22DCE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="00D22DCE">
        <w:rPr>
          <w:rFonts w:ascii="Times New Roman" w:hAnsi="Times New Roman" w:cs="Times New Roman"/>
          <w:color w:val="333333"/>
        </w:rPr>
        <w:t>p.</w:t>
      </w:r>
      <w:proofErr w:type="gramEnd"/>
      <w:r w:rsidR="00D22DCE">
        <w:rPr>
          <w:rFonts w:ascii="Times New Roman" w:hAnsi="Times New Roman" w:cs="Times New Roman"/>
          <w:color w:val="333333"/>
        </w:rPr>
        <w:t>200.</w:t>
      </w:r>
    </w:p>
  </w:footnote>
  <w:footnote w:id="6">
    <w:p w:rsidR="00EF0BD7" w:rsidRDefault="00EF0BD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02CDF">
        <w:rPr>
          <w:rFonts w:ascii="Times New Roman" w:hAnsi="Times New Roman" w:cs="Times New Roman"/>
          <w:sz w:val="24"/>
          <w:szCs w:val="24"/>
        </w:rPr>
        <w:t xml:space="preserve"> (MACHADO, 2009, p. 611-613)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44441D" w:rsidRPr="009635E6" w:rsidRDefault="0044441D" w:rsidP="0044441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5E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9635E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635E6">
        <w:rPr>
          <w:rFonts w:ascii="Times New Roman" w:hAnsi="Times New Roman" w:cs="Times New Roman"/>
          <w:sz w:val="20"/>
          <w:szCs w:val="20"/>
        </w:rPr>
        <w:t>FARIA,</w:t>
      </w:r>
      <w:proofErr w:type="gramEnd"/>
      <w:r w:rsidRPr="009635E6">
        <w:rPr>
          <w:rFonts w:ascii="Times New Roman" w:hAnsi="Times New Roman" w:cs="Times New Roman"/>
          <w:sz w:val="20"/>
          <w:szCs w:val="20"/>
        </w:rPr>
        <w:t xml:space="preserve"> Bento. </w:t>
      </w:r>
      <w:r w:rsidRPr="009635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Curso de processo penal</w:t>
      </w:r>
      <w:r w:rsidRPr="009635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6ª ed. São </w:t>
      </w:r>
      <w:proofErr w:type="gramStart"/>
      <w:r w:rsidRPr="009635E6">
        <w:rPr>
          <w:rFonts w:ascii="Times New Roman" w:hAnsi="Times New Roman" w:cs="Times New Roman"/>
          <w:color w:val="000000" w:themeColor="text1"/>
          <w:sz w:val="20"/>
          <w:szCs w:val="20"/>
        </w:rPr>
        <w:t>Paulo.</w:t>
      </w:r>
      <w:proofErr w:type="gramEnd"/>
      <w:r w:rsidRPr="009635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1989, v.2. </w:t>
      </w:r>
      <w:proofErr w:type="gramStart"/>
      <w:r w:rsidRPr="009635E6">
        <w:rPr>
          <w:rFonts w:ascii="Times New Roman" w:hAnsi="Times New Roman" w:cs="Times New Roman"/>
          <w:color w:val="000000" w:themeColor="text1"/>
          <w:sz w:val="20"/>
          <w:szCs w:val="20"/>
        </w:rPr>
        <w:t>p.</w:t>
      </w:r>
      <w:proofErr w:type="gramEnd"/>
      <w:r w:rsidRPr="009635E6">
        <w:rPr>
          <w:rFonts w:ascii="Times New Roman" w:hAnsi="Times New Roman" w:cs="Times New Roman"/>
          <w:color w:val="000000" w:themeColor="text1"/>
          <w:sz w:val="20"/>
          <w:szCs w:val="20"/>
        </w:rPr>
        <w:t>209</w:t>
      </w:r>
      <w:r w:rsidRPr="009635E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</w:p>
    <w:p w:rsidR="0044441D" w:rsidRDefault="0044441D">
      <w:pPr>
        <w:pStyle w:val="Textodenotaderodap"/>
      </w:pPr>
    </w:p>
  </w:footnote>
  <w:footnote w:id="8">
    <w:p w:rsidR="00D02193" w:rsidRPr="00D02193" w:rsidRDefault="00D02193" w:rsidP="00D02193">
      <w:pPr>
        <w:tabs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D02193">
        <w:rPr>
          <w:rStyle w:val="Refdenotaderodap"/>
          <w:rFonts w:ascii="Times New Roman" w:hAnsi="Times New Roman" w:cs="Times New Roman"/>
          <w:color w:val="1D1B11" w:themeColor="background2" w:themeShade="1A"/>
          <w:sz w:val="20"/>
          <w:szCs w:val="20"/>
        </w:rPr>
        <w:footnoteRef/>
      </w:r>
      <w:proofErr w:type="gramStart"/>
      <w:r w:rsidRPr="00D02193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 xml:space="preserve">“ </w:t>
      </w:r>
      <w:proofErr w:type="gramEnd"/>
      <w:r w:rsidRPr="00D02193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Somente os juízes, tribunais, e órgãos jurisdicionais previstos na Constituição se identificam ao juiz natural, princípio que se estende ao poder de julgar também previsto em outros órgãos”.</w:t>
      </w:r>
    </w:p>
    <w:p w:rsidR="00D02193" w:rsidRPr="00D02193" w:rsidRDefault="00D02193" w:rsidP="00D02193">
      <w:pPr>
        <w:tabs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D02193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MELLO FILHO, José Celso, A tutela judicial da liberdade. RT 526/291.</w:t>
      </w:r>
    </w:p>
    <w:p w:rsidR="00D02193" w:rsidRDefault="00D02193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11E0"/>
    <w:multiLevelType w:val="hybridMultilevel"/>
    <w:tmpl w:val="38EC3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0D"/>
    <w:rsid w:val="00003381"/>
    <w:rsid w:val="00015572"/>
    <w:rsid w:val="000162F5"/>
    <w:rsid w:val="000219E5"/>
    <w:rsid w:val="000321C2"/>
    <w:rsid w:val="0005128F"/>
    <w:rsid w:val="00057038"/>
    <w:rsid w:val="00066F0A"/>
    <w:rsid w:val="000B329A"/>
    <w:rsid w:val="000C2449"/>
    <w:rsid w:val="000D285E"/>
    <w:rsid w:val="00111431"/>
    <w:rsid w:val="00172C24"/>
    <w:rsid w:val="00197514"/>
    <w:rsid w:val="001C33F2"/>
    <w:rsid w:val="001D5376"/>
    <w:rsid w:val="001D6E6D"/>
    <w:rsid w:val="001E629F"/>
    <w:rsid w:val="001F1A9E"/>
    <w:rsid w:val="002145CD"/>
    <w:rsid w:val="0023476C"/>
    <w:rsid w:val="00240132"/>
    <w:rsid w:val="0024373F"/>
    <w:rsid w:val="00260D5D"/>
    <w:rsid w:val="002A3227"/>
    <w:rsid w:val="002A42DE"/>
    <w:rsid w:val="002B07E7"/>
    <w:rsid w:val="002C079C"/>
    <w:rsid w:val="002C2026"/>
    <w:rsid w:val="002C60AC"/>
    <w:rsid w:val="002D47B8"/>
    <w:rsid w:val="002D4B02"/>
    <w:rsid w:val="00307305"/>
    <w:rsid w:val="00320E8C"/>
    <w:rsid w:val="00324AD0"/>
    <w:rsid w:val="00354E9C"/>
    <w:rsid w:val="00377ACA"/>
    <w:rsid w:val="00383469"/>
    <w:rsid w:val="00392FA6"/>
    <w:rsid w:val="00395506"/>
    <w:rsid w:val="003A1902"/>
    <w:rsid w:val="003A43DA"/>
    <w:rsid w:val="003C42B6"/>
    <w:rsid w:val="003E3E10"/>
    <w:rsid w:val="004106BC"/>
    <w:rsid w:val="00434486"/>
    <w:rsid w:val="0044441D"/>
    <w:rsid w:val="0046398C"/>
    <w:rsid w:val="00490BC7"/>
    <w:rsid w:val="00494477"/>
    <w:rsid w:val="004A52DB"/>
    <w:rsid w:val="004C44DA"/>
    <w:rsid w:val="004E0AA0"/>
    <w:rsid w:val="004F21C7"/>
    <w:rsid w:val="0053358F"/>
    <w:rsid w:val="00562275"/>
    <w:rsid w:val="00586F0E"/>
    <w:rsid w:val="00595715"/>
    <w:rsid w:val="005B17C3"/>
    <w:rsid w:val="005D477A"/>
    <w:rsid w:val="005E395B"/>
    <w:rsid w:val="005E4B4B"/>
    <w:rsid w:val="005E7890"/>
    <w:rsid w:val="00611B90"/>
    <w:rsid w:val="00613DFA"/>
    <w:rsid w:val="00664372"/>
    <w:rsid w:val="00664F30"/>
    <w:rsid w:val="006659E5"/>
    <w:rsid w:val="00671632"/>
    <w:rsid w:val="00681D98"/>
    <w:rsid w:val="00684B4A"/>
    <w:rsid w:val="006A2B34"/>
    <w:rsid w:val="006B346F"/>
    <w:rsid w:val="006B4371"/>
    <w:rsid w:val="006C63C6"/>
    <w:rsid w:val="006D56BA"/>
    <w:rsid w:val="00706619"/>
    <w:rsid w:val="007140E1"/>
    <w:rsid w:val="00762ABA"/>
    <w:rsid w:val="007667F4"/>
    <w:rsid w:val="007677FE"/>
    <w:rsid w:val="00767E7E"/>
    <w:rsid w:val="00772B24"/>
    <w:rsid w:val="00776125"/>
    <w:rsid w:val="007A3A9A"/>
    <w:rsid w:val="007C100D"/>
    <w:rsid w:val="007C7B7A"/>
    <w:rsid w:val="007E4C69"/>
    <w:rsid w:val="008121D5"/>
    <w:rsid w:val="0081482D"/>
    <w:rsid w:val="008325BF"/>
    <w:rsid w:val="00832B77"/>
    <w:rsid w:val="00841873"/>
    <w:rsid w:val="0085227C"/>
    <w:rsid w:val="00852304"/>
    <w:rsid w:val="0088340E"/>
    <w:rsid w:val="00896563"/>
    <w:rsid w:val="008A2A45"/>
    <w:rsid w:val="008B5E01"/>
    <w:rsid w:val="008E1180"/>
    <w:rsid w:val="008E41CB"/>
    <w:rsid w:val="008E6216"/>
    <w:rsid w:val="008F6808"/>
    <w:rsid w:val="009635E6"/>
    <w:rsid w:val="009664AE"/>
    <w:rsid w:val="00980034"/>
    <w:rsid w:val="0098439C"/>
    <w:rsid w:val="00985F6F"/>
    <w:rsid w:val="009B15D8"/>
    <w:rsid w:val="009B2C8C"/>
    <w:rsid w:val="009C25E3"/>
    <w:rsid w:val="009F0553"/>
    <w:rsid w:val="009F2278"/>
    <w:rsid w:val="00A234D5"/>
    <w:rsid w:val="00A425B9"/>
    <w:rsid w:val="00AA6073"/>
    <w:rsid w:val="00AF6C58"/>
    <w:rsid w:val="00B12161"/>
    <w:rsid w:val="00B420E2"/>
    <w:rsid w:val="00B441F3"/>
    <w:rsid w:val="00B77B43"/>
    <w:rsid w:val="00B95578"/>
    <w:rsid w:val="00BC5833"/>
    <w:rsid w:val="00BD45DB"/>
    <w:rsid w:val="00C20662"/>
    <w:rsid w:val="00C37ECA"/>
    <w:rsid w:val="00C4402F"/>
    <w:rsid w:val="00C56C0C"/>
    <w:rsid w:val="00C8224C"/>
    <w:rsid w:val="00C8463A"/>
    <w:rsid w:val="00C90BBA"/>
    <w:rsid w:val="00CB275F"/>
    <w:rsid w:val="00CD5CE4"/>
    <w:rsid w:val="00CF6630"/>
    <w:rsid w:val="00D02193"/>
    <w:rsid w:val="00D02CDF"/>
    <w:rsid w:val="00D05625"/>
    <w:rsid w:val="00D22DCE"/>
    <w:rsid w:val="00D2372D"/>
    <w:rsid w:val="00D35492"/>
    <w:rsid w:val="00D37654"/>
    <w:rsid w:val="00D8698D"/>
    <w:rsid w:val="00D95EA9"/>
    <w:rsid w:val="00D9611D"/>
    <w:rsid w:val="00DB37CD"/>
    <w:rsid w:val="00DF45AD"/>
    <w:rsid w:val="00E14AE4"/>
    <w:rsid w:val="00E24CEF"/>
    <w:rsid w:val="00E52503"/>
    <w:rsid w:val="00E56B43"/>
    <w:rsid w:val="00E865E5"/>
    <w:rsid w:val="00EA3EBB"/>
    <w:rsid w:val="00EA474F"/>
    <w:rsid w:val="00EA679F"/>
    <w:rsid w:val="00EF0BD7"/>
    <w:rsid w:val="00EF14D8"/>
    <w:rsid w:val="00EF1601"/>
    <w:rsid w:val="00F04A37"/>
    <w:rsid w:val="00F12ED3"/>
    <w:rsid w:val="00F364AC"/>
    <w:rsid w:val="00F47E40"/>
    <w:rsid w:val="00F634E8"/>
    <w:rsid w:val="00F66016"/>
    <w:rsid w:val="00F74B4F"/>
    <w:rsid w:val="00F75FAE"/>
    <w:rsid w:val="00F839FC"/>
    <w:rsid w:val="00F95C4B"/>
    <w:rsid w:val="00F965FB"/>
    <w:rsid w:val="00FA3BF1"/>
    <w:rsid w:val="00FC1659"/>
    <w:rsid w:val="00FC2F66"/>
    <w:rsid w:val="00FD0979"/>
    <w:rsid w:val="00FE38B5"/>
    <w:rsid w:val="00FE5A6A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66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583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33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33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3381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7667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66016"/>
    <w:rPr>
      <w:b/>
      <w:bCs/>
    </w:rPr>
  </w:style>
  <w:style w:type="character" w:customStyle="1" w:styleId="apple-converted-space">
    <w:name w:val="apple-converted-space"/>
    <w:basedOn w:val="Fontepargpadro"/>
    <w:rsid w:val="00F66016"/>
  </w:style>
  <w:style w:type="character" w:styleId="Hyperlink">
    <w:name w:val="Hyperlink"/>
    <w:basedOn w:val="Fontepargpadro"/>
    <w:uiPriority w:val="99"/>
    <w:semiHidden/>
    <w:unhideWhenUsed/>
    <w:rsid w:val="00F660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B17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66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583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33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33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3381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7667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66016"/>
    <w:rPr>
      <w:b/>
      <w:bCs/>
    </w:rPr>
  </w:style>
  <w:style w:type="character" w:customStyle="1" w:styleId="apple-converted-space">
    <w:name w:val="apple-converted-space"/>
    <w:basedOn w:val="Fontepargpadro"/>
    <w:rsid w:val="00F66016"/>
  </w:style>
  <w:style w:type="character" w:styleId="Hyperlink">
    <w:name w:val="Hyperlink"/>
    <w:basedOn w:val="Fontepargpadro"/>
    <w:uiPriority w:val="99"/>
    <w:semiHidden/>
    <w:unhideWhenUsed/>
    <w:rsid w:val="00F660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B1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3E51-5DB3-4148-9569-49F44D3B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3889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Jogos</cp:lastModifiedBy>
  <cp:revision>3</cp:revision>
  <dcterms:created xsi:type="dcterms:W3CDTF">2016-06-10T13:59:00Z</dcterms:created>
  <dcterms:modified xsi:type="dcterms:W3CDTF">2016-06-10T14:00:00Z</dcterms:modified>
</cp:coreProperties>
</file>